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61E" w:rsidRDefault="0005261E" w:rsidP="0005261E">
      <w:pPr>
        <w:spacing w:after="0"/>
      </w:pPr>
    </w:p>
    <w:p w:rsidR="00EB71F5" w:rsidRPr="00846F31" w:rsidRDefault="00336402" w:rsidP="00342C74">
      <w:pPr>
        <w:pBdr>
          <w:bottom w:val="single" w:sz="18" w:space="1" w:color="365F91" w:themeColor="accent1" w:themeShade="BF"/>
        </w:pBdr>
        <w:jc w:val="center"/>
        <w:rPr>
          <w:rFonts w:ascii="Arial" w:hAnsi="Arial" w:cs="Arial"/>
          <w:b/>
          <w:color w:val="002060"/>
          <w:sz w:val="40"/>
          <w:szCs w:val="40"/>
        </w:rPr>
      </w:pPr>
      <w:r w:rsidRPr="00846F31">
        <w:rPr>
          <w:rFonts w:ascii="Arial" w:hAnsi="Arial" w:cs="Arial"/>
          <w:b/>
          <w:color w:val="002060"/>
          <w:sz w:val="40"/>
          <w:szCs w:val="40"/>
        </w:rPr>
        <w:t xml:space="preserve">Jack </w:t>
      </w:r>
      <w:proofErr w:type="spellStart"/>
      <w:r w:rsidRPr="00846F31">
        <w:rPr>
          <w:rFonts w:ascii="Arial" w:hAnsi="Arial" w:cs="Arial"/>
          <w:b/>
          <w:color w:val="002060"/>
          <w:sz w:val="40"/>
          <w:szCs w:val="40"/>
        </w:rPr>
        <w:t>Mezirow</w:t>
      </w:r>
      <w:proofErr w:type="spellEnd"/>
      <w:r w:rsidRPr="00846F31">
        <w:rPr>
          <w:rFonts w:ascii="Arial" w:hAnsi="Arial" w:cs="Arial"/>
          <w:b/>
          <w:color w:val="002060"/>
          <w:sz w:val="40"/>
          <w:szCs w:val="40"/>
        </w:rPr>
        <w:t>: Transformative Learning</w:t>
      </w:r>
    </w:p>
    <w:p w:rsidR="00F3061F" w:rsidRPr="004C2CD5" w:rsidRDefault="00336402" w:rsidP="00F3061F">
      <w:pPr>
        <w:autoSpaceDE w:val="0"/>
        <w:autoSpaceDN w:val="0"/>
        <w:adjustRightInd w:val="0"/>
        <w:spacing w:after="0" w:line="240" w:lineRule="auto"/>
      </w:pPr>
      <w:r w:rsidRPr="004C2CD5">
        <w:t>Jack</w:t>
      </w:r>
      <w:r w:rsidR="00001EE2" w:rsidRPr="004C2CD5">
        <w:t xml:space="preserve"> </w:t>
      </w:r>
      <w:proofErr w:type="spellStart"/>
      <w:r w:rsidR="00001EE2" w:rsidRPr="004C2CD5">
        <w:t>Mezirow</w:t>
      </w:r>
      <w:proofErr w:type="spellEnd"/>
      <w:r w:rsidR="00001EE2" w:rsidRPr="004C2CD5">
        <w:t xml:space="preserve"> is an American p</w:t>
      </w:r>
      <w:r w:rsidR="00E95672" w:rsidRPr="004C2CD5">
        <w:t>rofessor</w:t>
      </w:r>
      <w:r w:rsidR="002E39B7" w:rsidRPr="004C2CD5">
        <w:t xml:space="preserve"> of Adult Education. H</w:t>
      </w:r>
      <w:r w:rsidR="00E95672" w:rsidRPr="004C2CD5">
        <w:t xml:space="preserve">e </w:t>
      </w:r>
      <w:r w:rsidR="002E39B7" w:rsidRPr="004C2CD5">
        <w:t>views</w:t>
      </w:r>
      <w:r w:rsidR="00F3061F" w:rsidRPr="004C2CD5">
        <w:t xml:space="preserve"> </w:t>
      </w:r>
      <w:r w:rsidR="00001EE2" w:rsidRPr="004C2CD5">
        <w:t>a</w:t>
      </w:r>
      <w:r w:rsidRPr="004C2CD5">
        <w:t>dult ed</w:t>
      </w:r>
      <w:r w:rsidR="00001EE2" w:rsidRPr="004C2CD5">
        <w:t xml:space="preserve">ucation </w:t>
      </w:r>
      <w:r w:rsidR="00F3061F" w:rsidRPr="004C2CD5">
        <w:t xml:space="preserve">as a </w:t>
      </w:r>
      <w:r w:rsidR="002E39B7" w:rsidRPr="004C2CD5">
        <w:t>powerful force</w:t>
      </w:r>
      <w:r w:rsidR="00F3061F" w:rsidRPr="004C2CD5">
        <w:t xml:space="preserve"> to help adults </w:t>
      </w:r>
      <w:r w:rsidR="00E45872">
        <w:t>realis</w:t>
      </w:r>
      <w:r w:rsidR="00E95672" w:rsidRPr="004C2CD5">
        <w:t>e their potential for becoming more l</w:t>
      </w:r>
      <w:r w:rsidR="00F3061F" w:rsidRPr="004C2CD5">
        <w:t xml:space="preserve">iberated, socially responsible, </w:t>
      </w:r>
      <w:r w:rsidR="00E95672" w:rsidRPr="004C2CD5">
        <w:t>and autonomous</w:t>
      </w:r>
      <w:r w:rsidRPr="004C2CD5">
        <w:t>.</w:t>
      </w:r>
      <w:r w:rsidR="00001EE2" w:rsidRPr="004C2CD5">
        <w:t xml:space="preserve"> </w:t>
      </w:r>
      <w:r w:rsidR="00F3061F" w:rsidRPr="004C2CD5">
        <w:t xml:space="preserve">People </w:t>
      </w:r>
      <w:r w:rsidR="001D79D0" w:rsidRPr="004C2CD5">
        <w:t>may come to adult education</w:t>
      </w:r>
      <w:r w:rsidR="00F3061F" w:rsidRPr="004C2CD5">
        <w:t xml:space="preserve"> to learn specific skills and to meet short-t</w:t>
      </w:r>
      <w:r w:rsidR="001D79D0" w:rsidRPr="004C2CD5">
        <w:t xml:space="preserve">erm goals, but the overall purpose </w:t>
      </w:r>
      <w:r w:rsidR="00F3061F" w:rsidRPr="004C2CD5">
        <w:t xml:space="preserve">of the educational experience is to develop autonomous thinking. </w:t>
      </w:r>
      <w:proofErr w:type="spellStart"/>
      <w:r w:rsidR="00F3061F" w:rsidRPr="004C2CD5">
        <w:t>Mezirow</w:t>
      </w:r>
      <w:proofErr w:type="spellEnd"/>
      <w:r w:rsidR="00F3061F" w:rsidRPr="004C2CD5">
        <w:t xml:space="preserve"> believes that this is an essential capacity for all adults living in a democratic society, especially in a time of rapid change.</w:t>
      </w:r>
    </w:p>
    <w:p w:rsidR="00F3061F" w:rsidRPr="004C2CD5" w:rsidRDefault="00F3061F" w:rsidP="00F3061F">
      <w:pPr>
        <w:autoSpaceDE w:val="0"/>
        <w:autoSpaceDN w:val="0"/>
        <w:adjustRightInd w:val="0"/>
        <w:spacing w:after="0" w:line="240" w:lineRule="auto"/>
      </w:pPr>
    </w:p>
    <w:p w:rsidR="00E45872" w:rsidRDefault="00F3061F" w:rsidP="00336402">
      <w:pPr>
        <w:autoSpaceDE w:val="0"/>
        <w:autoSpaceDN w:val="0"/>
        <w:adjustRightInd w:val="0"/>
        <w:spacing w:after="0" w:line="240" w:lineRule="auto"/>
        <w:rPr>
          <w:rFonts w:cs="Berkeley-Book"/>
        </w:rPr>
      </w:pPr>
      <w:r w:rsidRPr="004C2CD5">
        <w:t xml:space="preserve">For </w:t>
      </w:r>
      <w:proofErr w:type="spellStart"/>
      <w:r w:rsidRPr="004C2CD5">
        <w:rPr>
          <w:rFonts w:cs="Berkeley-BookItalic"/>
          <w:iCs/>
        </w:rPr>
        <w:t>Mezirow</w:t>
      </w:r>
      <w:proofErr w:type="spellEnd"/>
      <w:r w:rsidRPr="004C2CD5">
        <w:rPr>
          <w:rFonts w:cs="Berkeley-BookItalic"/>
          <w:iCs/>
        </w:rPr>
        <w:t xml:space="preserve">, ‘autonomy’ refers to </w:t>
      </w:r>
      <w:r w:rsidRPr="004C2CD5">
        <w:rPr>
          <w:rFonts w:cs="Berkeley-Book"/>
        </w:rPr>
        <w:t xml:space="preserve">the understanding, skills, and dispositions that people need </w:t>
      </w:r>
      <w:r w:rsidR="000D62CC">
        <w:rPr>
          <w:rFonts w:cs="Berkeley-Book"/>
        </w:rPr>
        <w:t xml:space="preserve">in order </w:t>
      </w:r>
      <w:r w:rsidRPr="004C2CD5">
        <w:rPr>
          <w:rFonts w:cs="Berkeley-Book"/>
        </w:rPr>
        <w:t>to become critically reflective of their own assumptions about how the</w:t>
      </w:r>
      <w:r w:rsidR="002E39B7" w:rsidRPr="004C2CD5">
        <w:rPr>
          <w:rFonts w:cs="Berkeley-Book"/>
        </w:rPr>
        <w:t xml:space="preserve"> world works</w:t>
      </w:r>
      <w:r w:rsidRPr="004C2CD5">
        <w:rPr>
          <w:rFonts w:cs="Berkeley-Book"/>
        </w:rPr>
        <w:t xml:space="preserve">. </w:t>
      </w:r>
      <w:r w:rsidR="001D79D0" w:rsidRPr="004C2CD5">
        <w:rPr>
          <w:rFonts w:cs="Berkeley-Book"/>
        </w:rPr>
        <w:t>This means analysing our ‘frames of reference’.</w:t>
      </w:r>
      <w:r w:rsidR="001D79D0" w:rsidRPr="004C2CD5">
        <w:rPr>
          <w:rFonts w:cs="Times New Roman"/>
        </w:rPr>
        <w:t xml:space="preserve"> </w:t>
      </w:r>
      <w:r w:rsidR="001D79D0" w:rsidRPr="004C2CD5">
        <w:rPr>
          <w:rFonts w:cs="Berkeley-Book"/>
        </w:rPr>
        <w:t>A frame of reference</w:t>
      </w:r>
      <w:r w:rsidRPr="004C2CD5">
        <w:rPr>
          <w:rFonts w:cs="Berkeley-Book"/>
        </w:rPr>
        <w:t xml:space="preserve"> is a coherent body of experience, </w:t>
      </w:r>
      <w:r w:rsidR="001D79D0" w:rsidRPr="004C2CD5">
        <w:rPr>
          <w:rFonts w:cs="Berkeley-Book"/>
        </w:rPr>
        <w:t xml:space="preserve">values, feelings and </w:t>
      </w:r>
      <w:r w:rsidR="00336402" w:rsidRPr="004C2CD5">
        <w:rPr>
          <w:rFonts w:cs="Berkeley-Book"/>
        </w:rPr>
        <w:t>conditioned</w:t>
      </w:r>
      <w:r w:rsidR="001D79D0" w:rsidRPr="004C2CD5">
        <w:rPr>
          <w:rFonts w:cs="Berkeley-Book"/>
        </w:rPr>
        <w:t xml:space="preserve"> responses that determine</w:t>
      </w:r>
      <w:r w:rsidRPr="004C2CD5">
        <w:rPr>
          <w:rFonts w:cs="Berkeley-Book"/>
        </w:rPr>
        <w:t xml:space="preserve"> how we each see o</w:t>
      </w:r>
      <w:r w:rsidR="001D79D0" w:rsidRPr="004C2CD5">
        <w:rPr>
          <w:rFonts w:cs="Berkeley-Book"/>
        </w:rPr>
        <w:t>ur world. It</w:t>
      </w:r>
      <w:r w:rsidRPr="004C2CD5">
        <w:rPr>
          <w:rFonts w:cs="Berkeley-Book"/>
        </w:rPr>
        <w:t xml:space="preserve"> is like a lens, through which we view the</w:t>
      </w:r>
      <w:r w:rsidR="00336402" w:rsidRPr="004C2CD5">
        <w:rPr>
          <w:rFonts w:cs="Berkeley-Book"/>
        </w:rPr>
        <w:t xml:space="preserve"> world and </w:t>
      </w:r>
      <w:r w:rsidRPr="004C2CD5">
        <w:rPr>
          <w:rFonts w:cs="Berkeley-Book"/>
        </w:rPr>
        <w:t xml:space="preserve">which in </w:t>
      </w:r>
      <w:r w:rsidR="001D79D0" w:rsidRPr="004C2CD5">
        <w:rPr>
          <w:rFonts w:cs="Berkeley-Book"/>
        </w:rPr>
        <w:t>turn</w:t>
      </w:r>
      <w:r w:rsidR="00E45872">
        <w:rPr>
          <w:rFonts w:cs="Berkeley-Book"/>
        </w:rPr>
        <w:t>,</w:t>
      </w:r>
      <w:r w:rsidR="001D79D0" w:rsidRPr="004C2CD5">
        <w:rPr>
          <w:rFonts w:cs="Berkeley-Book"/>
        </w:rPr>
        <w:t xml:space="preserve"> shapes how we interpret it</w:t>
      </w:r>
      <w:r w:rsidRPr="004C2CD5">
        <w:rPr>
          <w:rFonts w:cs="Berkeley-Book"/>
        </w:rPr>
        <w:t xml:space="preserve"> and how we act. </w:t>
      </w:r>
      <w:r w:rsidR="00336402" w:rsidRPr="004C2CD5">
        <w:rPr>
          <w:rFonts w:cs="Berkeley-Book"/>
        </w:rPr>
        <w:t>We tend to dismiss anything that falls ou</w:t>
      </w:r>
      <w:r w:rsidRPr="004C2CD5">
        <w:rPr>
          <w:rFonts w:cs="Berkeley-Book"/>
        </w:rPr>
        <w:t xml:space="preserve">tside our frame of </w:t>
      </w:r>
      <w:r w:rsidR="00342C74" w:rsidRPr="004C2CD5">
        <w:rPr>
          <w:rFonts w:cs="Berkeley-Book"/>
        </w:rPr>
        <w:t>reference that</w:t>
      </w:r>
      <w:r w:rsidRPr="004C2CD5">
        <w:rPr>
          <w:rFonts w:cs="Berkeley-Book"/>
        </w:rPr>
        <w:t xml:space="preserve"> does not</w:t>
      </w:r>
      <w:r w:rsidR="00336402" w:rsidRPr="004C2CD5">
        <w:rPr>
          <w:rFonts w:cs="Berkeley-Book"/>
        </w:rPr>
        <w:t xml:space="preserve"> fit our preconceptions. </w:t>
      </w:r>
    </w:p>
    <w:p w:rsidR="00E45872" w:rsidRDefault="00E45872" w:rsidP="00336402">
      <w:pPr>
        <w:autoSpaceDE w:val="0"/>
        <w:autoSpaceDN w:val="0"/>
        <w:adjustRightInd w:val="0"/>
        <w:spacing w:after="0" w:line="240" w:lineRule="auto"/>
        <w:rPr>
          <w:rFonts w:cs="Berkeley-Book"/>
        </w:rPr>
      </w:pPr>
    </w:p>
    <w:p w:rsidR="00336402" w:rsidRPr="004C2CD5" w:rsidRDefault="001D79D0" w:rsidP="00336402">
      <w:pPr>
        <w:autoSpaceDE w:val="0"/>
        <w:autoSpaceDN w:val="0"/>
        <w:adjustRightInd w:val="0"/>
        <w:spacing w:after="0" w:line="240" w:lineRule="auto"/>
        <w:rPr>
          <w:rFonts w:cs="Berkeley-Book"/>
        </w:rPr>
      </w:pPr>
      <w:r w:rsidRPr="004C2CD5">
        <w:rPr>
          <w:rFonts w:cs="Berkeley-Book"/>
        </w:rPr>
        <w:t xml:space="preserve">‘Habits of mind’ can limit our thinking and our actions. These are habitual ways of thinking, seeing, feeling, acting and they are shaped by the underlying assumptions of our frame of reference. </w:t>
      </w:r>
      <w:r w:rsidR="00F3061F" w:rsidRPr="004C2CD5">
        <w:rPr>
          <w:rFonts w:cs="Berkeley-Book"/>
        </w:rPr>
        <w:t>It is the j</w:t>
      </w:r>
      <w:r w:rsidRPr="004C2CD5">
        <w:rPr>
          <w:rFonts w:cs="Berkeley-Book"/>
        </w:rPr>
        <w:t xml:space="preserve">ob of adult education to help us to examine our frames of reference and habits of mind, </w:t>
      </w:r>
      <w:r w:rsidR="00F3061F" w:rsidRPr="004C2CD5">
        <w:rPr>
          <w:rFonts w:cs="Berkeley-Book"/>
        </w:rPr>
        <w:t xml:space="preserve">open up to </w:t>
      </w:r>
      <w:r w:rsidRPr="004C2CD5">
        <w:rPr>
          <w:rFonts w:cs="Berkeley-Book"/>
        </w:rPr>
        <w:t xml:space="preserve">a wider perspective and to let go of those that limit our thoughts and actions. This is </w:t>
      </w:r>
      <w:r w:rsidR="00E45872">
        <w:rPr>
          <w:rFonts w:cs="Berkeley-Book"/>
        </w:rPr>
        <w:t>known as “</w:t>
      </w:r>
      <w:r w:rsidRPr="004C2CD5">
        <w:rPr>
          <w:rFonts w:cs="Berkeley-Book"/>
        </w:rPr>
        <w:t>transformation</w:t>
      </w:r>
      <w:r w:rsidR="00E45872">
        <w:rPr>
          <w:rFonts w:cs="Berkeley-Book"/>
        </w:rPr>
        <w:t>”</w:t>
      </w:r>
      <w:r w:rsidRPr="004C2CD5">
        <w:rPr>
          <w:rFonts w:cs="Berkeley-Book"/>
        </w:rPr>
        <w:t>.</w:t>
      </w:r>
    </w:p>
    <w:p w:rsidR="004C2CD5" w:rsidRPr="004C2CD5" w:rsidRDefault="004C2CD5" w:rsidP="001D79D0">
      <w:pPr>
        <w:autoSpaceDE w:val="0"/>
        <w:autoSpaceDN w:val="0"/>
        <w:adjustRightInd w:val="0"/>
        <w:spacing w:after="0" w:line="240" w:lineRule="auto"/>
        <w:rPr>
          <w:rFonts w:cs="Berkeley-Book"/>
        </w:rPr>
      </w:pPr>
    </w:p>
    <w:p w:rsidR="001D79D0" w:rsidRPr="004C2CD5" w:rsidRDefault="001D79D0" w:rsidP="001D79D0">
      <w:pPr>
        <w:autoSpaceDE w:val="0"/>
        <w:autoSpaceDN w:val="0"/>
        <w:adjustRightInd w:val="0"/>
        <w:spacing w:after="0" w:line="240" w:lineRule="auto"/>
        <w:rPr>
          <w:rFonts w:cs="Berkeley-Book"/>
        </w:rPr>
      </w:pPr>
      <w:proofErr w:type="spellStart"/>
      <w:r w:rsidRPr="004C2CD5">
        <w:rPr>
          <w:rFonts w:cs="Berkeley-Book"/>
        </w:rPr>
        <w:t>Mezirow</w:t>
      </w:r>
      <w:proofErr w:type="spellEnd"/>
      <w:r w:rsidRPr="004C2CD5">
        <w:rPr>
          <w:rFonts w:cs="Berkeley-Book"/>
        </w:rPr>
        <w:t xml:space="preserve"> makes an important distinction between working towards short-term objectives, and long-term goals. The learner’s immediate focus may be on practical, short-term objectives, such as </w:t>
      </w:r>
      <w:r w:rsidR="00342C74" w:rsidRPr="004C2CD5">
        <w:rPr>
          <w:rFonts w:cs="Berkeley-Book"/>
        </w:rPr>
        <w:t>to pass</w:t>
      </w:r>
      <w:r w:rsidRPr="004C2CD5">
        <w:rPr>
          <w:rFonts w:cs="Berkeley-Book"/>
        </w:rPr>
        <w:t xml:space="preserve"> the</w:t>
      </w:r>
      <w:r w:rsidR="00E45872">
        <w:rPr>
          <w:rFonts w:cs="Berkeley-Book"/>
        </w:rPr>
        <w:t>ir</w:t>
      </w:r>
      <w:r w:rsidRPr="004C2CD5">
        <w:rPr>
          <w:rFonts w:cs="Berkeley-Book"/>
        </w:rPr>
        <w:t xml:space="preserve"> driving test, get a job or promotion, or help </w:t>
      </w:r>
      <w:r w:rsidR="00E45872">
        <w:rPr>
          <w:rFonts w:cs="Berkeley-Book"/>
        </w:rPr>
        <w:t>a</w:t>
      </w:r>
      <w:r w:rsidRPr="004C2CD5">
        <w:rPr>
          <w:rFonts w:cs="Berkeley-Book"/>
        </w:rPr>
        <w:t xml:space="preserve"> child with homework.</w:t>
      </w:r>
      <w:r w:rsidR="004C2CD5" w:rsidRPr="004C2CD5">
        <w:rPr>
          <w:rFonts w:cs="Berkeley-Book"/>
        </w:rPr>
        <w:t xml:space="preserve"> However, knowledge alone does not automatically result in autonomous thinking. </w:t>
      </w:r>
      <w:r w:rsidRPr="004C2CD5">
        <w:rPr>
          <w:rFonts w:cs="Berkeley-Book"/>
        </w:rPr>
        <w:t xml:space="preserve"> Therefore, experiences which foster this </w:t>
      </w:r>
      <w:r w:rsidR="004C2CD5" w:rsidRPr="004C2CD5">
        <w:rPr>
          <w:rFonts w:cs="Berkeley-Book"/>
        </w:rPr>
        <w:t xml:space="preserve">important competence </w:t>
      </w:r>
      <w:r w:rsidRPr="004C2CD5">
        <w:rPr>
          <w:rFonts w:cs="Berkeley-Book"/>
        </w:rPr>
        <w:t xml:space="preserve">need to be built into the </w:t>
      </w:r>
      <w:r w:rsidR="004C2CD5" w:rsidRPr="004C2CD5">
        <w:rPr>
          <w:rFonts w:cs="Berkeley-Book"/>
        </w:rPr>
        <w:t xml:space="preserve">learning </w:t>
      </w:r>
      <w:r w:rsidRPr="004C2CD5">
        <w:rPr>
          <w:rFonts w:cs="Berkeley-Book"/>
        </w:rPr>
        <w:t>experience.  “</w:t>
      </w:r>
      <w:r w:rsidRPr="004C2CD5">
        <w:rPr>
          <w:rFonts w:cs="Times New Roman"/>
        </w:rPr>
        <w:t>Fostering greater autonomy in thinking is both a goal and a</w:t>
      </w:r>
      <w:r w:rsidRPr="004C2CD5">
        <w:t xml:space="preserve"> </w:t>
      </w:r>
      <w:r w:rsidRPr="004C2CD5">
        <w:rPr>
          <w:rFonts w:cs="Times New Roman"/>
        </w:rPr>
        <w:t>method for adult educators.”</w:t>
      </w:r>
    </w:p>
    <w:p w:rsidR="004C2CD5" w:rsidRPr="004C2CD5" w:rsidRDefault="004C2CD5" w:rsidP="004C2CD5">
      <w:pPr>
        <w:spacing w:line="240" w:lineRule="auto"/>
        <w:rPr>
          <w:rFonts w:cs="Berkeley-Book"/>
        </w:rPr>
      </w:pPr>
    </w:p>
    <w:p w:rsidR="004C2CD5" w:rsidRPr="004C2CD5" w:rsidRDefault="001D79D0" w:rsidP="00E45872">
      <w:pPr>
        <w:autoSpaceDE w:val="0"/>
        <w:autoSpaceDN w:val="0"/>
        <w:adjustRightInd w:val="0"/>
        <w:spacing w:after="0" w:line="240" w:lineRule="auto"/>
        <w:rPr>
          <w:rFonts w:cs="Berkeley-Book"/>
        </w:rPr>
      </w:pPr>
      <w:r w:rsidRPr="004C2CD5">
        <w:rPr>
          <w:rFonts w:cs="Berkeley-BookItalic"/>
          <w:iCs/>
        </w:rPr>
        <w:t>Discourse is an</w:t>
      </w:r>
      <w:r w:rsidR="004C2CD5" w:rsidRPr="004C2CD5">
        <w:rPr>
          <w:rFonts w:cs="Berkeley-BookItalic"/>
          <w:iCs/>
        </w:rPr>
        <w:t xml:space="preserve"> important tool</w:t>
      </w:r>
      <w:r w:rsidRPr="004C2CD5">
        <w:rPr>
          <w:rFonts w:cs="Berkeley-BookItalic"/>
          <w:iCs/>
        </w:rPr>
        <w:t xml:space="preserve"> which </w:t>
      </w:r>
      <w:r w:rsidR="00E45872">
        <w:rPr>
          <w:rFonts w:cs="Berkeley-BookItalic"/>
          <w:iCs/>
        </w:rPr>
        <w:t xml:space="preserve">can </w:t>
      </w:r>
      <w:r w:rsidR="00342C74" w:rsidRPr="004C2CD5">
        <w:rPr>
          <w:rFonts w:cs="Berkeley-BookItalic"/>
          <w:iCs/>
        </w:rPr>
        <w:t>foster autonomous</w:t>
      </w:r>
      <w:r w:rsidRPr="004C2CD5">
        <w:rPr>
          <w:rFonts w:cs="Berkeley-BookItalic"/>
          <w:iCs/>
        </w:rPr>
        <w:t xml:space="preserve"> thinking. </w:t>
      </w:r>
      <w:r w:rsidR="00A708B5">
        <w:rPr>
          <w:rFonts w:cs="Berkeley-BookItalic"/>
          <w:iCs/>
        </w:rPr>
        <w:t>It</w:t>
      </w:r>
      <w:r w:rsidR="00A708B5" w:rsidRPr="004C2CD5">
        <w:rPr>
          <w:rFonts w:cs="Berkeley-Book"/>
        </w:rPr>
        <w:t xml:space="preserve"> </w:t>
      </w:r>
      <w:r w:rsidR="00336402" w:rsidRPr="004C2CD5">
        <w:rPr>
          <w:rFonts w:cs="Berkeley-Book"/>
        </w:rPr>
        <w:t xml:space="preserve">is a </w:t>
      </w:r>
      <w:r w:rsidR="002E39B7" w:rsidRPr="004C2CD5">
        <w:rPr>
          <w:rFonts w:cs="Berkeley-Book"/>
        </w:rPr>
        <w:t>speciali</w:t>
      </w:r>
      <w:r w:rsidR="00E45872">
        <w:rPr>
          <w:rFonts w:cs="Berkeley-Book"/>
        </w:rPr>
        <w:t>s</w:t>
      </w:r>
      <w:r w:rsidR="002E39B7" w:rsidRPr="004C2CD5">
        <w:rPr>
          <w:rFonts w:cs="Berkeley-Book"/>
        </w:rPr>
        <w:t xml:space="preserve">ed </w:t>
      </w:r>
      <w:r w:rsidR="00E95672" w:rsidRPr="004C2CD5">
        <w:rPr>
          <w:rFonts w:cs="Berkeley-Book"/>
        </w:rPr>
        <w:t xml:space="preserve">type of </w:t>
      </w:r>
      <w:r w:rsidR="00336402" w:rsidRPr="004C2CD5">
        <w:rPr>
          <w:rFonts w:cs="Berkeley-Book"/>
        </w:rPr>
        <w:t xml:space="preserve">dialogue </w:t>
      </w:r>
      <w:r w:rsidRPr="004C2CD5">
        <w:rPr>
          <w:rFonts w:cs="Berkeley-Book"/>
        </w:rPr>
        <w:t xml:space="preserve">which </w:t>
      </w:r>
      <w:r w:rsidR="002E39B7" w:rsidRPr="004C2CD5">
        <w:rPr>
          <w:rFonts w:cs="Berkeley-Book"/>
        </w:rPr>
        <w:t>examines e</w:t>
      </w:r>
      <w:r w:rsidRPr="004C2CD5">
        <w:rPr>
          <w:rFonts w:cs="Berkeley-Book"/>
        </w:rPr>
        <w:t xml:space="preserve">vidence and arguments for a </w:t>
      </w:r>
      <w:r w:rsidR="002E39B7" w:rsidRPr="004C2CD5">
        <w:rPr>
          <w:rFonts w:cs="Berkeley-Book"/>
        </w:rPr>
        <w:t>point of v</w:t>
      </w:r>
      <w:r w:rsidRPr="004C2CD5">
        <w:rPr>
          <w:rFonts w:cs="Berkeley-Book"/>
        </w:rPr>
        <w:t xml:space="preserve">iew, and considers </w:t>
      </w:r>
      <w:r w:rsidR="002E39B7" w:rsidRPr="004C2CD5">
        <w:rPr>
          <w:rFonts w:cs="Berkeley-Book"/>
        </w:rPr>
        <w:t>alternative perspectiv</w:t>
      </w:r>
      <w:r w:rsidRPr="004C2CD5">
        <w:rPr>
          <w:rFonts w:cs="Berkeley-Book"/>
        </w:rPr>
        <w:t>es</w:t>
      </w:r>
      <w:r w:rsidR="000D62CC">
        <w:rPr>
          <w:rFonts w:cs="Berkeley-Book"/>
        </w:rPr>
        <w:t>.</w:t>
      </w:r>
      <w:r w:rsidR="00E45872">
        <w:rPr>
          <w:rFonts w:cs="Berkeley-Book"/>
        </w:rPr>
        <w:t xml:space="preserve"> </w:t>
      </w:r>
      <w:r w:rsidR="004C2CD5" w:rsidRPr="004C2CD5">
        <w:rPr>
          <w:rFonts w:cs="Berkeley-Book"/>
        </w:rPr>
        <w:t>This view of education as transformation has many concrete implications for practice</w:t>
      </w:r>
      <w:r w:rsidR="00A708B5">
        <w:rPr>
          <w:rFonts w:cs="Berkeley-Book"/>
        </w:rPr>
        <w:t>.</w:t>
      </w:r>
    </w:p>
    <w:p w:rsidR="00E45872" w:rsidRDefault="00E45872" w:rsidP="002E39B7">
      <w:pPr>
        <w:autoSpaceDE w:val="0"/>
        <w:autoSpaceDN w:val="0"/>
        <w:adjustRightInd w:val="0"/>
        <w:spacing w:after="0" w:line="240" w:lineRule="auto"/>
        <w:rPr>
          <w:rFonts w:cs="Berkeley-Book"/>
        </w:rPr>
      </w:pPr>
    </w:p>
    <w:p w:rsidR="00336402" w:rsidRPr="004C2CD5" w:rsidRDefault="002E39B7" w:rsidP="002E39B7">
      <w:pPr>
        <w:autoSpaceDE w:val="0"/>
        <w:autoSpaceDN w:val="0"/>
        <w:adjustRightInd w:val="0"/>
        <w:spacing w:after="0" w:line="240" w:lineRule="auto"/>
        <w:rPr>
          <w:rFonts w:cs="Berkeley-Book"/>
        </w:rPr>
      </w:pPr>
      <w:r w:rsidRPr="004C2CD5">
        <w:rPr>
          <w:rFonts w:cs="Berkeley-Book"/>
        </w:rPr>
        <w:t>The role of the educator is that of</w:t>
      </w:r>
      <w:r w:rsidR="00336402" w:rsidRPr="004C2CD5">
        <w:rPr>
          <w:rFonts w:cs="Berkeley-Book"/>
        </w:rPr>
        <w:t xml:space="preserve"> a </w:t>
      </w:r>
      <w:r w:rsidR="00336402" w:rsidRPr="004C2CD5">
        <w:rPr>
          <w:rFonts w:cs="Berkeley-BookItalic"/>
          <w:i/>
          <w:iCs/>
        </w:rPr>
        <w:t xml:space="preserve">facilitator </w:t>
      </w:r>
      <w:r w:rsidR="00336402" w:rsidRPr="004C2CD5">
        <w:rPr>
          <w:rFonts w:cs="Berkeley-Book"/>
        </w:rPr>
        <w:t xml:space="preserve">and </w:t>
      </w:r>
      <w:r w:rsidR="00336402" w:rsidRPr="004C2CD5">
        <w:rPr>
          <w:rFonts w:cs="Berkeley-BookItalic"/>
          <w:i/>
          <w:iCs/>
        </w:rPr>
        <w:t xml:space="preserve">provocateur </w:t>
      </w:r>
      <w:r w:rsidR="00336402" w:rsidRPr="004C2CD5">
        <w:rPr>
          <w:rFonts w:cs="Berkeley-Book"/>
        </w:rPr>
        <w:t>rather than an authority on subject matter.</w:t>
      </w:r>
      <w:r w:rsidR="001D79D0" w:rsidRPr="004C2CD5">
        <w:rPr>
          <w:rFonts w:cs="Berkeley-Book"/>
        </w:rPr>
        <w:t xml:space="preserve"> This means </w:t>
      </w:r>
      <w:r w:rsidRPr="004C2CD5">
        <w:rPr>
          <w:rFonts w:cs="Berkeley-Book"/>
        </w:rPr>
        <w:t xml:space="preserve">encouraging </w:t>
      </w:r>
      <w:r w:rsidR="00336402" w:rsidRPr="004C2CD5">
        <w:rPr>
          <w:rFonts w:cs="Berkeley-Book"/>
        </w:rPr>
        <w:t>respect and responsibility for helping each</w:t>
      </w:r>
      <w:r w:rsidR="00342C74">
        <w:rPr>
          <w:rFonts w:cs="Berkeley-Book"/>
        </w:rPr>
        <w:t xml:space="preserve"> </w:t>
      </w:r>
      <w:r w:rsidR="00336402" w:rsidRPr="004C2CD5">
        <w:rPr>
          <w:rFonts w:cs="Berkeley-Book"/>
        </w:rPr>
        <w:t>other learn; to welcome diversity; to foster peer collaboration; to provide</w:t>
      </w:r>
      <w:r w:rsidR="00342C74">
        <w:rPr>
          <w:rFonts w:cs="Berkeley-Book"/>
        </w:rPr>
        <w:t xml:space="preserve"> </w:t>
      </w:r>
      <w:r w:rsidR="00336402" w:rsidRPr="004C2CD5">
        <w:rPr>
          <w:rFonts w:cs="Berkeley-Book"/>
        </w:rPr>
        <w:t>equal</w:t>
      </w:r>
      <w:r w:rsidR="001D79D0" w:rsidRPr="004C2CD5">
        <w:rPr>
          <w:rFonts w:cs="Berkeley-Book"/>
        </w:rPr>
        <w:t xml:space="preserve"> opportunity for participation and generally </w:t>
      </w:r>
      <w:r w:rsidR="00E45872" w:rsidRPr="004C2CD5">
        <w:rPr>
          <w:rFonts w:cs="Berkeley-Book"/>
        </w:rPr>
        <w:t>facilitat</w:t>
      </w:r>
      <w:r w:rsidR="00E45872">
        <w:rPr>
          <w:rFonts w:cs="Berkeley-Book"/>
        </w:rPr>
        <w:t>e</w:t>
      </w:r>
      <w:r w:rsidR="001D79D0" w:rsidRPr="004C2CD5">
        <w:rPr>
          <w:rFonts w:cs="Berkeley-Book"/>
        </w:rPr>
        <w:t xml:space="preserve"> </w:t>
      </w:r>
      <w:r w:rsidR="00E45872" w:rsidRPr="004C2CD5">
        <w:rPr>
          <w:rFonts w:cs="Berkeley-Book"/>
        </w:rPr>
        <w:t>communication</w:t>
      </w:r>
      <w:r w:rsidR="001D79D0" w:rsidRPr="004C2CD5">
        <w:rPr>
          <w:rFonts w:cs="Berkeley-Book"/>
        </w:rPr>
        <w:t xml:space="preserve">. </w:t>
      </w:r>
    </w:p>
    <w:p w:rsidR="001D79D0" w:rsidRPr="004C2CD5" w:rsidRDefault="001D79D0" w:rsidP="002E39B7">
      <w:pPr>
        <w:autoSpaceDE w:val="0"/>
        <w:autoSpaceDN w:val="0"/>
        <w:adjustRightInd w:val="0"/>
        <w:spacing w:after="0" w:line="240" w:lineRule="auto"/>
        <w:rPr>
          <w:rFonts w:cs="Times New Roman"/>
        </w:rPr>
      </w:pPr>
    </w:p>
    <w:p w:rsidR="004C2CD5" w:rsidRPr="004C2CD5" w:rsidRDefault="001D79D0" w:rsidP="004C2CD5">
      <w:pPr>
        <w:spacing w:line="240" w:lineRule="auto"/>
        <w:rPr>
          <w:rFonts w:cs="Berkeley-Book"/>
        </w:rPr>
      </w:pPr>
      <w:r w:rsidRPr="004C2CD5">
        <w:rPr>
          <w:rFonts w:cs="Berkeley-Book"/>
        </w:rPr>
        <w:t xml:space="preserve">For </w:t>
      </w:r>
      <w:proofErr w:type="spellStart"/>
      <w:r w:rsidRPr="004C2CD5">
        <w:rPr>
          <w:rFonts w:cs="Berkeley-Book"/>
        </w:rPr>
        <w:t>Mezirow</w:t>
      </w:r>
      <w:proofErr w:type="spellEnd"/>
      <w:r w:rsidR="00E45872">
        <w:rPr>
          <w:rFonts w:cs="Berkeley-Book"/>
        </w:rPr>
        <w:t>,</w:t>
      </w:r>
      <w:r w:rsidRPr="004C2CD5">
        <w:rPr>
          <w:rFonts w:cs="Berkeley-Book"/>
        </w:rPr>
        <w:t xml:space="preserve"> transforma</w:t>
      </w:r>
      <w:r w:rsidR="00E45872">
        <w:rPr>
          <w:rFonts w:cs="Berkeley-Book"/>
        </w:rPr>
        <w:t>tive learning is not an add-on; it</w:t>
      </w:r>
      <w:r w:rsidRPr="004C2CD5">
        <w:rPr>
          <w:rFonts w:cs="Berkeley-Book"/>
        </w:rPr>
        <w:t xml:space="preserve"> is the essence of adult education.</w:t>
      </w:r>
    </w:p>
    <w:p w:rsidR="002E39B7" w:rsidRPr="004C2CD5" w:rsidRDefault="00336402" w:rsidP="009718FA">
      <w:pPr>
        <w:spacing w:after="0" w:line="240" w:lineRule="auto"/>
      </w:pPr>
      <w:proofErr w:type="spellStart"/>
      <w:r w:rsidRPr="004C2CD5">
        <w:t>Mezirow</w:t>
      </w:r>
      <w:proofErr w:type="spellEnd"/>
      <w:r w:rsidRPr="004C2CD5">
        <w:t>, Jack (1997) Transformative Learning: Theory to Practice</w:t>
      </w:r>
    </w:p>
    <w:p w:rsidR="00336402" w:rsidRPr="004C2CD5" w:rsidRDefault="00336402" w:rsidP="002E39B7">
      <w:pPr>
        <w:spacing w:after="0" w:line="240" w:lineRule="auto"/>
        <w:rPr>
          <w:rFonts w:cs="Berkeley-Book"/>
        </w:rPr>
      </w:pPr>
      <w:proofErr w:type="spellStart"/>
      <w:r w:rsidRPr="004C2CD5">
        <w:rPr>
          <w:rFonts w:cs="Berkeley-Book"/>
        </w:rPr>
        <w:t>Mezirow</w:t>
      </w:r>
      <w:proofErr w:type="spellEnd"/>
      <w:r w:rsidRPr="004C2CD5">
        <w:rPr>
          <w:rFonts w:cs="Berkeley-Book"/>
        </w:rPr>
        <w:t>, Jack (200</w:t>
      </w:r>
      <w:r w:rsidR="00A708B5">
        <w:rPr>
          <w:rFonts w:cs="Berkeley-Book"/>
        </w:rPr>
        <w:t>0</w:t>
      </w:r>
      <w:r w:rsidRPr="004C2CD5">
        <w:rPr>
          <w:rFonts w:cs="Berkeley-Book"/>
        </w:rPr>
        <w:t xml:space="preserve">) “Learning to Think Like an Adult: Core Concepts of Transformation Theory,” in </w:t>
      </w:r>
      <w:proofErr w:type="spellStart"/>
      <w:r w:rsidRPr="004C2CD5">
        <w:rPr>
          <w:rFonts w:cs="Berkeley-Book"/>
        </w:rPr>
        <w:t>Mezirow</w:t>
      </w:r>
      <w:proofErr w:type="spellEnd"/>
      <w:r w:rsidRPr="004C2CD5">
        <w:rPr>
          <w:rFonts w:cs="Berkeley-Book"/>
        </w:rPr>
        <w:t xml:space="preserve">, Jack et al. (2000) </w:t>
      </w:r>
      <w:r w:rsidRPr="009718FA">
        <w:rPr>
          <w:rFonts w:cs="Berkeley-Book"/>
          <w:i/>
        </w:rPr>
        <w:t>Learning as Transformation. Critical</w:t>
      </w:r>
      <w:r w:rsidR="00342C74" w:rsidRPr="009718FA">
        <w:rPr>
          <w:rFonts w:cs="Berkeley-Book"/>
          <w:i/>
        </w:rPr>
        <w:t xml:space="preserve"> </w:t>
      </w:r>
      <w:r w:rsidRPr="009718FA">
        <w:rPr>
          <w:rFonts w:cs="Berkeley-Book"/>
          <w:i/>
        </w:rPr>
        <w:t>Perspectives on a Theory in Progress</w:t>
      </w:r>
      <w:r w:rsidRPr="004C2CD5">
        <w:rPr>
          <w:rFonts w:cs="Berkeley-Book"/>
        </w:rPr>
        <w:t xml:space="preserve"> </w:t>
      </w:r>
      <w:r w:rsidR="00C97875">
        <w:rPr>
          <w:rFonts w:cs="Berkeley-Book"/>
        </w:rPr>
        <w:t>(</w:t>
      </w:r>
      <w:proofErr w:type="spellStart"/>
      <w:r w:rsidR="00C97875" w:rsidRPr="004C2CD5">
        <w:rPr>
          <w:rFonts w:cs="Berkeley-Book"/>
        </w:rPr>
        <w:t>Jossey</w:t>
      </w:r>
      <w:proofErr w:type="spellEnd"/>
      <w:r w:rsidR="00C97875" w:rsidRPr="004C2CD5">
        <w:rPr>
          <w:rFonts w:cs="Berkeley-Book"/>
        </w:rPr>
        <w:t>-Bass</w:t>
      </w:r>
      <w:r w:rsidR="00C97875">
        <w:rPr>
          <w:rFonts w:cs="Berkeley-Book"/>
        </w:rPr>
        <w:t xml:space="preserve">: </w:t>
      </w:r>
      <w:r w:rsidRPr="004C2CD5">
        <w:rPr>
          <w:rFonts w:cs="Berkeley-Book"/>
        </w:rPr>
        <w:t>San Francisco</w:t>
      </w:r>
      <w:r w:rsidR="00C97875">
        <w:rPr>
          <w:rFonts w:cs="Berkeley-Book"/>
        </w:rPr>
        <w:t>)</w:t>
      </w:r>
      <w:r w:rsidRPr="004C2CD5">
        <w:rPr>
          <w:rFonts w:cs="Berkeley-Book"/>
        </w:rPr>
        <w:t>, 3-33.</w:t>
      </w:r>
    </w:p>
    <w:p w:rsidR="00336402" w:rsidRPr="004C2CD5" w:rsidRDefault="00336402" w:rsidP="00336402">
      <w:pPr>
        <w:rPr>
          <w:rFonts w:cs="Arial"/>
          <w:b/>
          <w:color w:val="002060"/>
        </w:rPr>
      </w:pPr>
    </w:p>
    <w:sectPr w:rsidR="00336402" w:rsidRPr="004C2CD5" w:rsidSect="00447C4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4BD" w:rsidRDefault="003704BD" w:rsidP="00447C4C">
      <w:pPr>
        <w:spacing w:after="0" w:line="240" w:lineRule="auto"/>
      </w:pPr>
      <w:r>
        <w:separator/>
      </w:r>
    </w:p>
  </w:endnote>
  <w:endnote w:type="continuationSeparator" w:id="0">
    <w:p w:rsidR="003704BD" w:rsidRDefault="003704BD" w:rsidP="00447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rkeley-Book">
    <w:panose1 w:val="00000000000000000000"/>
    <w:charset w:val="00"/>
    <w:family w:val="roman"/>
    <w:notTrueType/>
    <w:pitch w:val="default"/>
    <w:sig w:usb0="00000003" w:usb1="00000000" w:usb2="00000000" w:usb3="00000000" w:csb0="00000001" w:csb1="00000000"/>
  </w:font>
  <w:font w:name="Berkeley-Book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524" w:rsidRDefault="006D652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08F" w:rsidRPr="003D6D97" w:rsidRDefault="006D6524">
    <w:pPr>
      <w:pStyle w:val="Footer"/>
      <w:rPr>
        <w:rFonts w:eastAsiaTheme="majorEastAsia" w:cstheme="majorBidi"/>
        <w:color w:val="002060"/>
      </w:rPr>
    </w:pPr>
    <w:r>
      <w:rPr>
        <w:rFonts w:eastAsiaTheme="majorEastAsia" w:cstheme="majorBidi"/>
        <w:color w:val="002060"/>
      </w:rPr>
      <w:t xml:space="preserve">HO </w:t>
    </w:r>
    <w:r>
      <w:rPr>
        <w:rFonts w:eastAsiaTheme="majorEastAsia" w:cstheme="majorBidi"/>
        <w:color w:val="002060"/>
      </w:rPr>
      <w:t>1.5</w:t>
    </w:r>
    <w:bookmarkStart w:id="0" w:name="_GoBack"/>
    <w:bookmarkEnd w:id="0"/>
    <w:r w:rsidR="00336402" w:rsidRPr="003D6D97">
      <w:rPr>
        <w:rFonts w:eastAsiaTheme="majorEastAsia" w:cstheme="majorBidi"/>
        <w:color w:val="002060"/>
      </w:rPr>
      <w:t xml:space="preserve"> </w:t>
    </w:r>
    <w:proofErr w:type="spellStart"/>
    <w:r w:rsidR="00336402" w:rsidRPr="003D6D97">
      <w:rPr>
        <w:rFonts w:eastAsiaTheme="majorEastAsia" w:cstheme="majorBidi"/>
        <w:color w:val="002060"/>
      </w:rPr>
      <w:t>Mezirow</w:t>
    </w:r>
    <w:proofErr w:type="spellEnd"/>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524" w:rsidRDefault="006D65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4BD" w:rsidRDefault="003704BD" w:rsidP="00447C4C">
      <w:pPr>
        <w:spacing w:after="0" w:line="240" w:lineRule="auto"/>
      </w:pPr>
      <w:r>
        <w:separator/>
      </w:r>
    </w:p>
  </w:footnote>
  <w:footnote w:type="continuationSeparator" w:id="0">
    <w:p w:rsidR="003704BD" w:rsidRDefault="003704BD" w:rsidP="00447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524" w:rsidRDefault="006D652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F31" w:rsidRPr="00DE6703" w:rsidRDefault="00846F31" w:rsidP="00846F31">
    <w:pPr>
      <w:ind w:left="-567"/>
      <w:jc w:val="both"/>
      <w:outlineLvl w:val="0"/>
      <w:rPr>
        <w:b/>
        <w:bCs/>
        <w:color w:val="002060"/>
        <w:sz w:val="40"/>
        <w:szCs w:val="40"/>
        <w:lang w:val="en-US"/>
      </w:rPr>
    </w:pPr>
    <w:r>
      <w:rPr>
        <w:b/>
        <w:bCs/>
        <w:noProof/>
        <w:color w:val="002060"/>
        <w:sz w:val="40"/>
        <w:szCs w:val="40"/>
      </w:rPr>
      <w:drawing>
        <wp:anchor distT="0" distB="0" distL="114300" distR="114300" simplePos="0" relativeHeight="251664384" behindDoc="1" locked="0" layoutInCell="1" allowOverlap="1">
          <wp:simplePos x="0" y="0"/>
          <wp:positionH relativeFrom="column">
            <wp:posOffset>-542925</wp:posOffset>
          </wp:positionH>
          <wp:positionV relativeFrom="paragraph">
            <wp:posOffset>-363855</wp:posOffset>
          </wp:positionV>
          <wp:extent cx="6515100" cy="885825"/>
          <wp:effectExtent l="19050" t="0" r="0" b="0"/>
          <wp:wrapNone/>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6515100" cy="885825"/>
                  </a:xfrm>
                  <a:prstGeom prst="rect">
                    <a:avLst/>
                  </a:prstGeom>
                  <a:noFill/>
                </pic:spPr>
              </pic:pic>
            </a:graphicData>
          </a:graphic>
        </wp:anchor>
      </w:drawing>
    </w:r>
    <w:r>
      <w:rPr>
        <w:b/>
        <w:bCs/>
        <w:noProof/>
        <w:color w:val="002060"/>
        <w:sz w:val="40"/>
        <w:szCs w:val="40"/>
      </w:rPr>
      <w:drawing>
        <wp:anchor distT="0" distB="0" distL="114300" distR="114300" simplePos="0" relativeHeight="251662336" behindDoc="0" locked="0" layoutInCell="1" allowOverlap="1">
          <wp:simplePos x="0" y="0"/>
          <wp:positionH relativeFrom="column">
            <wp:posOffset>5278622</wp:posOffset>
          </wp:positionH>
          <wp:positionV relativeFrom="paragraph">
            <wp:posOffset>-45543</wp:posOffset>
          </wp:positionV>
          <wp:extent cx="1164708" cy="567070"/>
          <wp:effectExtent l="19050" t="0" r="0" b="0"/>
          <wp:wrapNone/>
          <wp:docPr id="17" name="Picture 1" descr="CDET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ETB logo"/>
                  <pic:cNvPicPr>
                    <a:picLocks noChangeAspect="1" noChangeArrowheads="1"/>
                  </pic:cNvPicPr>
                </pic:nvPicPr>
                <pic:blipFill>
                  <a:blip r:embed="rId2"/>
                  <a:srcRect/>
                  <a:stretch>
                    <a:fillRect/>
                  </a:stretch>
                </pic:blipFill>
                <pic:spPr bwMode="auto">
                  <a:xfrm>
                    <a:off x="0" y="0"/>
                    <a:ext cx="1164708" cy="567070"/>
                  </a:xfrm>
                  <a:prstGeom prst="rect">
                    <a:avLst/>
                  </a:prstGeom>
                  <a:noFill/>
                </pic:spPr>
              </pic:pic>
            </a:graphicData>
          </a:graphic>
        </wp:anchor>
      </w:drawing>
    </w:r>
    <w:r>
      <w:rPr>
        <w:b/>
        <w:bCs/>
        <w:noProof/>
        <w:color w:val="002060"/>
        <w:sz w:val="40"/>
        <w:szCs w:val="40"/>
      </w:rPr>
      <w:drawing>
        <wp:anchor distT="0" distB="0" distL="114300" distR="114300" simplePos="0" relativeHeight="251663360" behindDoc="0" locked="0" layoutInCell="1" allowOverlap="1">
          <wp:simplePos x="0" y="0"/>
          <wp:positionH relativeFrom="column">
            <wp:posOffset>5278415</wp:posOffset>
          </wp:positionH>
          <wp:positionV relativeFrom="paragraph">
            <wp:posOffset>-44574</wp:posOffset>
          </wp:positionV>
          <wp:extent cx="1164708" cy="567070"/>
          <wp:effectExtent l="19050" t="0" r="0" b="0"/>
          <wp:wrapNone/>
          <wp:docPr id="18" name="Picture 1" descr="CDET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ETB logo"/>
                  <pic:cNvPicPr>
                    <a:picLocks noChangeAspect="1" noChangeArrowheads="1"/>
                  </pic:cNvPicPr>
                </pic:nvPicPr>
                <pic:blipFill>
                  <a:blip r:embed="rId2"/>
                  <a:srcRect/>
                  <a:stretch>
                    <a:fillRect/>
                  </a:stretch>
                </pic:blipFill>
                <pic:spPr bwMode="auto">
                  <a:xfrm>
                    <a:off x="0" y="0"/>
                    <a:ext cx="1164708" cy="567070"/>
                  </a:xfrm>
                  <a:prstGeom prst="rect">
                    <a:avLst/>
                  </a:prstGeom>
                  <a:noFill/>
                </pic:spPr>
              </pic:pic>
            </a:graphicData>
          </a:graphic>
        </wp:anchor>
      </w:drawing>
    </w:r>
    <w:r w:rsidRPr="001C3040">
      <w:rPr>
        <w:b/>
        <w:bCs/>
        <w:color w:val="002060"/>
        <w:sz w:val="40"/>
        <w:szCs w:val="40"/>
        <w:lang w:val="en-US"/>
      </w:rPr>
      <w:t xml:space="preserve">Adult Literacy </w:t>
    </w:r>
    <w:r w:rsidR="006D6524">
      <w:rPr>
        <w:b/>
        <w:bCs/>
        <w:color w:val="002060"/>
        <w:sz w:val="40"/>
        <w:szCs w:val="40"/>
        <w:lang w:val="en-US"/>
      </w:rPr>
      <w:t>Awareness</w:t>
    </w:r>
    <w:r w:rsidRPr="001C3040">
      <w:rPr>
        <w:b/>
        <w:bCs/>
        <w:color w:val="002060"/>
        <w:sz w:val="40"/>
        <w:szCs w:val="40"/>
        <w:lang w:val="en-US"/>
      </w:rPr>
      <w:t xml:space="preserve"> Course</w:t>
    </w:r>
  </w:p>
  <w:p w:rsidR="00447C4C" w:rsidRDefault="00447C4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524" w:rsidRDefault="006D652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85A86"/>
    <w:multiLevelType w:val="hybridMultilevel"/>
    <w:tmpl w:val="CD26CBE2"/>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1" w15:restartNumberingAfterBreak="0">
    <w:nsid w:val="1E9E4C7E"/>
    <w:multiLevelType w:val="hybridMultilevel"/>
    <w:tmpl w:val="DF123FD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1A9597C"/>
    <w:multiLevelType w:val="hybridMultilevel"/>
    <w:tmpl w:val="385ED7F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2845170"/>
    <w:multiLevelType w:val="hybridMultilevel"/>
    <w:tmpl w:val="28301AD6"/>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D2A1888"/>
    <w:multiLevelType w:val="hybridMultilevel"/>
    <w:tmpl w:val="F0F6A7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C4C"/>
    <w:rsid w:val="00001EE2"/>
    <w:rsid w:val="0005261E"/>
    <w:rsid w:val="00056E3B"/>
    <w:rsid w:val="000815E4"/>
    <w:rsid w:val="000950A1"/>
    <w:rsid w:val="000D11AF"/>
    <w:rsid w:val="000D62CC"/>
    <w:rsid w:val="00130BE3"/>
    <w:rsid w:val="00135AE5"/>
    <w:rsid w:val="0018674B"/>
    <w:rsid w:val="001D79D0"/>
    <w:rsid w:val="00244F89"/>
    <w:rsid w:val="00276426"/>
    <w:rsid w:val="00297B39"/>
    <w:rsid w:val="002C30B7"/>
    <w:rsid w:val="002C3AE6"/>
    <w:rsid w:val="002E39B7"/>
    <w:rsid w:val="00336402"/>
    <w:rsid w:val="00342B7F"/>
    <w:rsid w:val="00342C74"/>
    <w:rsid w:val="003704BD"/>
    <w:rsid w:val="003D6D97"/>
    <w:rsid w:val="003F02C2"/>
    <w:rsid w:val="004311DB"/>
    <w:rsid w:val="00447C4C"/>
    <w:rsid w:val="004702AA"/>
    <w:rsid w:val="00494E63"/>
    <w:rsid w:val="004B58F8"/>
    <w:rsid w:val="004C108F"/>
    <w:rsid w:val="004C2CD5"/>
    <w:rsid w:val="00504306"/>
    <w:rsid w:val="0053402C"/>
    <w:rsid w:val="00684C26"/>
    <w:rsid w:val="006A473E"/>
    <w:rsid w:val="006D6524"/>
    <w:rsid w:val="00805A4F"/>
    <w:rsid w:val="00846F31"/>
    <w:rsid w:val="00880651"/>
    <w:rsid w:val="00880BFC"/>
    <w:rsid w:val="0090082A"/>
    <w:rsid w:val="00912767"/>
    <w:rsid w:val="00920406"/>
    <w:rsid w:val="00926D59"/>
    <w:rsid w:val="00926DC6"/>
    <w:rsid w:val="009718FA"/>
    <w:rsid w:val="00A10069"/>
    <w:rsid w:val="00A708B5"/>
    <w:rsid w:val="00AB64B0"/>
    <w:rsid w:val="00B06928"/>
    <w:rsid w:val="00B36C10"/>
    <w:rsid w:val="00B66EEE"/>
    <w:rsid w:val="00B81A21"/>
    <w:rsid w:val="00C97875"/>
    <w:rsid w:val="00DE70A5"/>
    <w:rsid w:val="00E07E6D"/>
    <w:rsid w:val="00E45872"/>
    <w:rsid w:val="00E45D3A"/>
    <w:rsid w:val="00E95672"/>
    <w:rsid w:val="00EB71F5"/>
    <w:rsid w:val="00F3061F"/>
    <w:rsid w:val="00F61AA5"/>
    <w:rsid w:val="00F76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96731"/>
  <w15:docId w15:val="{EFB1A525-86CB-4CBE-859C-39E6F3E38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C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C4C"/>
  </w:style>
  <w:style w:type="paragraph" w:styleId="Footer">
    <w:name w:val="footer"/>
    <w:basedOn w:val="Normal"/>
    <w:link w:val="FooterChar"/>
    <w:uiPriority w:val="99"/>
    <w:unhideWhenUsed/>
    <w:rsid w:val="00447C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C4C"/>
  </w:style>
  <w:style w:type="paragraph" w:styleId="ListParagraph">
    <w:name w:val="List Paragraph"/>
    <w:basedOn w:val="Normal"/>
    <w:uiPriority w:val="34"/>
    <w:qFormat/>
    <w:rsid w:val="004702AA"/>
    <w:pPr>
      <w:ind w:left="720"/>
      <w:contextualSpacing/>
    </w:pPr>
  </w:style>
  <w:style w:type="character" w:styleId="CommentReference">
    <w:name w:val="annotation reference"/>
    <w:basedOn w:val="DefaultParagraphFont"/>
    <w:uiPriority w:val="99"/>
    <w:semiHidden/>
    <w:unhideWhenUsed/>
    <w:rsid w:val="000D62CC"/>
    <w:rPr>
      <w:sz w:val="16"/>
      <w:szCs w:val="16"/>
    </w:rPr>
  </w:style>
  <w:style w:type="paragraph" w:styleId="CommentText">
    <w:name w:val="annotation text"/>
    <w:basedOn w:val="Normal"/>
    <w:link w:val="CommentTextChar"/>
    <w:uiPriority w:val="99"/>
    <w:semiHidden/>
    <w:unhideWhenUsed/>
    <w:rsid w:val="000D62CC"/>
    <w:pPr>
      <w:spacing w:line="240" w:lineRule="auto"/>
    </w:pPr>
    <w:rPr>
      <w:sz w:val="20"/>
      <w:szCs w:val="20"/>
    </w:rPr>
  </w:style>
  <w:style w:type="character" w:customStyle="1" w:styleId="CommentTextChar">
    <w:name w:val="Comment Text Char"/>
    <w:basedOn w:val="DefaultParagraphFont"/>
    <w:link w:val="CommentText"/>
    <w:uiPriority w:val="99"/>
    <w:semiHidden/>
    <w:rsid w:val="000D62CC"/>
    <w:rPr>
      <w:sz w:val="20"/>
      <w:szCs w:val="20"/>
    </w:rPr>
  </w:style>
  <w:style w:type="paragraph" w:styleId="CommentSubject">
    <w:name w:val="annotation subject"/>
    <w:basedOn w:val="CommentText"/>
    <w:next w:val="CommentText"/>
    <w:link w:val="CommentSubjectChar"/>
    <w:uiPriority w:val="99"/>
    <w:semiHidden/>
    <w:unhideWhenUsed/>
    <w:rsid w:val="000D62CC"/>
    <w:rPr>
      <w:b/>
      <w:bCs/>
    </w:rPr>
  </w:style>
  <w:style w:type="character" w:customStyle="1" w:styleId="CommentSubjectChar">
    <w:name w:val="Comment Subject Char"/>
    <w:basedOn w:val="CommentTextChar"/>
    <w:link w:val="CommentSubject"/>
    <w:uiPriority w:val="99"/>
    <w:semiHidden/>
    <w:rsid w:val="000D62CC"/>
    <w:rPr>
      <w:b/>
      <w:bCs/>
      <w:sz w:val="20"/>
      <w:szCs w:val="20"/>
    </w:rPr>
  </w:style>
  <w:style w:type="paragraph" w:styleId="BalloonText">
    <w:name w:val="Balloon Text"/>
    <w:basedOn w:val="Normal"/>
    <w:link w:val="BalloonTextChar"/>
    <w:uiPriority w:val="99"/>
    <w:semiHidden/>
    <w:unhideWhenUsed/>
    <w:rsid w:val="000D6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2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73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533A1953A45F4C83EF3AB372AED790" ma:contentTypeVersion="4" ma:contentTypeDescription="Create a new document." ma:contentTypeScope="" ma:versionID="f14ea02edc4bf9fdad9de584d418cda9">
  <xsd:schema xmlns:xsd="http://www.w3.org/2001/XMLSchema" xmlns:xs="http://www.w3.org/2001/XMLSchema" xmlns:p="http://schemas.microsoft.com/office/2006/metadata/properties" xmlns:ns2="8638c3e0-bf2a-45d9-aedd-e653a3e728d7" targetNamespace="http://schemas.microsoft.com/office/2006/metadata/properties" ma:root="true" ma:fieldsID="96b61412cd7a84bd66ad654eca168587" ns2:_="">
    <xsd:import namespace="8638c3e0-bf2a-45d9-aedd-e653a3e728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c3e0-bf2a-45d9-aedd-e653a3e72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880E08-E21A-4C96-904C-5DDB8B9C7CD2}">
  <ds:schemaRefs>
    <ds:schemaRef ds:uri="http://schemas.microsoft.com/sharepoint/v3/contenttype/forms"/>
  </ds:schemaRefs>
</ds:datastoreItem>
</file>

<file path=customXml/itemProps2.xml><?xml version="1.0" encoding="utf-8"?>
<ds:datastoreItem xmlns:ds="http://schemas.openxmlformats.org/officeDocument/2006/customXml" ds:itemID="{579AA69B-1A07-492F-A8E2-2F74AD7BB2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4D26C4-1B1B-4A07-B930-A2BA9DB82083}"/>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liz.mchugh</dc:creator>
  <cp:lastModifiedBy>Gwen Redmond</cp:lastModifiedBy>
  <cp:revision>2</cp:revision>
  <cp:lastPrinted>2014-09-19T13:10:00Z</cp:lastPrinted>
  <dcterms:created xsi:type="dcterms:W3CDTF">2021-05-25T17:44:00Z</dcterms:created>
  <dcterms:modified xsi:type="dcterms:W3CDTF">2021-05-25T17:52:00Z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0x010100B9533A1953A45F4C83EF3AB372AED790</vt:lpwstr>
  </property>
</Properties>
</file>