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1E" w:rsidRDefault="0005261E" w:rsidP="0005261E">
      <w:pPr>
        <w:spacing w:after="0"/>
      </w:pPr>
    </w:p>
    <w:p w:rsidR="00EB71F5" w:rsidRPr="00DE6703" w:rsidRDefault="00926D59" w:rsidP="00347530">
      <w:pPr>
        <w:pBdr>
          <w:bottom w:val="single" w:sz="18" w:space="1" w:color="365F91" w:themeColor="accent1" w:themeShade="BF"/>
        </w:pBdr>
        <w:jc w:val="center"/>
        <w:rPr>
          <w:rFonts w:ascii="Arial" w:hAnsi="Arial" w:cs="Arial"/>
          <w:b/>
          <w:color w:val="002060"/>
          <w:sz w:val="40"/>
          <w:szCs w:val="40"/>
        </w:rPr>
      </w:pPr>
      <w:r w:rsidRPr="00DE6703">
        <w:rPr>
          <w:rFonts w:ascii="Arial" w:hAnsi="Arial" w:cs="Arial"/>
          <w:b/>
          <w:color w:val="002060"/>
          <w:sz w:val="40"/>
          <w:szCs w:val="40"/>
        </w:rPr>
        <w:t>Malcolm Knowles: Andragogy</w:t>
      </w:r>
      <w:r w:rsidR="00A52C34">
        <w:rPr>
          <w:rFonts w:ascii="Arial" w:hAnsi="Arial" w:cs="Arial"/>
          <w:b/>
          <w:color w:val="002060"/>
          <w:sz w:val="40"/>
          <w:szCs w:val="40"/>
        </w:rPr>
        <w:t xml:space="preserve"> </w:t>
      </w:r>
      <w:bookmarkStart w:id="0" w:name="_GoBack"/>
      <w:bookmarkEnd w:id="0"/>
    </w:p>
    <w:p w:rsidR="00A52C34" w:rsidRDefault="00926D59" w:rsidP="00926D59">
      <w:r w:rsidRPr="00926D59">
        <w:t xml:space="preserve">Malcolm Knowles was a professor of education in the US whose work pioneered ways of thinking about adult learning and how to support the learning process in contexts relevant to adults. His work drew on research into the main theories of learning. </w:t>
      </w:r>
    </w:p>
    <w:p w:rsidR="00926D59" w:rsidRPr="00926D59" w:rsidRDefault="00926D59" w:rsidP="00926D59">
      <w:pPr>
        <w:rPr>
          <w:rFonts w:cs="Times New Roman"/>
        </w:rPr>
      </w:pPr>
      <w:r w:rsidRPr="00926D59">
        <w:t xml:space="preserve">From this, he concluded that most assumptions about education came from research into learning in animals and children, not adults. He drew on this work, and also </w:t>
      </w:r>
      <w:r w:rsidRPr="00926D59">
        <w:rPr>
          <w:rFonts w:cs="Times New Roman"/>
        </w:rPr>
        <w:t>on elements of psychotherapy (Carl Rogers), psychology (Abraham Maslow), group dynamics and change theory, and also on the research of other adult educators, to create his very influential theory of adult learning.</w:t>
      </w:r>
    </w:p>
    <w:p w:rsidR="00926D59" w:rsidRPr="00926D59" w:rsidRDefault="00926D59" w:rsidP="00926D59">
      <w:r w:rsidRPr="00926D59">
        <w:rPr>
          <w:rFonts w:cs="Times New Roman"/>
        </w:rPr>
        <w:t xml:space="preserve"> “Andragogy” was the concept he used to organise his system of ideas about adult learning. </w:t>
      </w:r>
      <w:r w:rsidR="00A01259">
        <w:rPr>
          <w:rFonts w:cs="Times New Roman"/>
        </w:rPr>
        <w:t>Andragogy</w:t>
      </w:r>
      <w:r w:rsidR="00A01259" w:rsidRPr="00926D59">
        <w:rPr>
          <w:rFonts w:cs="Times New Roman"/>
        </w:rPr>
        <w:t xml:space="preserve"> </w:t>
      </w:r>
      <w:r w:rsidRPr="00926D59">
        <w:rPr>
          <w:rFonts w:cs="Times New Roman"/>
        </w:rPr>
        <w:t>is the “art and science of teaching adults,” often mentioned in contrast to “pedagogy,” which refers to the teaching of children. Knowles believed that if learning is a change in behaviour,</w:t>
      </w:r>
      <w:r w:rsidR="00342B7F">
        <w:rPr>
          <w:rFonts w:cs="Times New Roman"/>
        </w:rPr>
        <w:t xml:space="preserve"> </w:t>
      </w:r>
      <w:r w:rsidRPr="00926D59">
        <w:rPr>
          <w:rFonts w:cs="Times New Roman"/>
        </w:rPr>
        <w:t>then adult education need</w:t>
      </w:r>
      <w:r w:rsidR="00342B7F">
        <w:rPr>
          <w:rFonts w:cs="Times New Roman"/>
        </w:rPr>
        <w:t>s to take</w:t>
      </w:r>
      <w:r w:rsidRPr="00926D59">
        <w:rPr>
          <w:rFonts w:cs="Times New Roman"/>
        </w:rPr>
        <w:t xml:space="preserve"> into account</w:t>
      </w:r>
      <w:r w:rsidR="00342B7F" w:rsidRPr="00342B7F">
        <w:rPr>
          <w:rFonts w:cs="Times New Roman"/>
        </w:rPr>
        <w:t xml:space="preserve"> </w:t>
      </w:r>
      <w:r w:rsidR="00342B7F" w:rsidRPr="00926D59">
        <w:rPr>
          <w:rFonts w:cs="Times New Roman"/>
        </w:rPr>
        <w:t>the key elements that propel changes in adults’ behaviour</w:t>
      </w:r>
      <w:r w:rsidRPr="00926D59">
        <w:rPr>
          <w:rFonts w:cs="Times New Roman"/>
        </w:rPr>
        <w:t xml:space="preserve">. He identified four main elements: </w:t>
      </w:r>
      <w:r w:rsidRPr="00926D59">
        <w:t xml:space="preserve"> </w:t>
      </w:r>
    </w:p>
    <w:p w:rsidR="00926D59" w:rsidRPr="00926D59" w:rsidRDefault="00926D59" w:rsidP="00A52C34">
      <w:pPr>
        <w:pStyle w:val="ListParagraph"/>
        <w:numPr>
          <w:ilvl w:val="0"/>
          <w:numId w:val="5"/>
        </w:numPr>
        <w:spacing w:after="160" w:line="259" w:lineRule="auto"/>
      </w:pPr>
      <w:r w:rsidRPr="00A52C34">
        <w:rPr>
          <w:b/>
        </w:rPr>
        <w:t>Changes in self-concept:</w:t>
      </w:r>
      <w:r w:rsidRPr="00926D59">
        <w:t xml:space="preserve"> </w:t>
      </w:r>
      <w:r w:rsidR="00342B7F">
        <w:t>a</w:t>
      </w:r>
      <w:r w:rsidRPr="00926D59">
        <w:t>dults are self-directing and need to be seen as such by others. Situations that prevent adult</w:t>
      </w:r>
      <w:r w:rsidR="00A01259">
        <w:t>s</w:t>
      </w:r>
      <w:r w:rsidRPr="00926D59">
        <w:t xml:space="preserve"> from realising self-directedness cause tension and resentment and block learning. </w:t>
      </w:r>
    </w:p>
    <w:p w:rsidR="00926D59" w:rsidRPr="00926D59" w:rsidRDefault="00926D59" w:rsidP="00A52C34">
      <w:pPr>
        <w:pStyle w:val="ListParagraph"/>
        <w:numPr>
          <w:ilvl w:val="0"/>
          <w:numId w:val="5"/>
        </w:numPr>
        <w:spacing w:after="160" w:line="259" w:lineRule="auto"/>
      </w:pPr>
      <w:r w:rsidRPr="00A52C34">
        <w:rPr>
          <w:b/>
        </w:rPr>
        <w:t>The role of experience:</w:t>
      </w:r>
      <w:r w:rsidRPr="00926D59">
        <w:t xml:space="preserve"> </w:t>
      </w:r>
      <w:r w:rsidR="00342B7F">
        <w:t>t</w:t>
      </w:r>
      <w:r w:rsidRPr="00926D59">
        <w:t xml:space="preserve">he individual has an ever-expanding pool of experience that provides a rich resource for learning, and to which new learning can be related. The ‘transmittal techniques of traditional teaching’ do not tap into this experience. </w:t>
      </w:r>
    </w:p>
    <w:p w:rsidR="00926D59" w:rsidRPr="00926D59" w:rsidRDefault="00926D59" w:rsidP="00A52C34">
      <w:pPr>
        <w:pStyle w:val="ListParagraph"/>
        <w:numPr>
          <w:ilvl w:val="0"/>
          <w:numId w:val="5"/>
        </w:numPr>
        <w:spacing w:after="160" w:line="259" w:lineRule="auto"/>
        <w:rPr>
          <w:rFonts w:cs="Arial"/>
        </w:rPr>
      </w:pPr>
      <w:r w:rsidRPr="00A52C34">
        <w:rPr>
          <w:b/>
        </w:rPr>
        <w:t>Readiness to learn:</w:t>
      </w:r>
      <w:r w:rsidRPr="00926D59">
        <w:t xml:space="preserve"> </w:t>
      </w:r>
      <w:r w:rsidR="00342B7F">
        <w:t>f</w:t>
      </w:r>
      <w:r w:rsidRPr="00926D59">
        <w:t xml:space="preserve">or adults, readiness to learn arises not from age or a particular stage of biological development. It arises because of a need which has come about in the person’s life, in their </w:t>
      </w:r>
      <w:r w:rsidRPr="00926D59">
        <w:rPr>
          <w:rFonts w:cs="Arial"/>
        </w:rPr>
        <w:t xml:space="preserve">role as workers, family members, leaders, members of communities and groups. </w:t>
      </w:r>
    </w:p>
    <w:p w:rsidR="00926D59" w:rsidRPr="00926D59" w:rsidRDefault="00926D59" w:rsidP="00A52C34">
      <w:pPr>
        <w:pStyle w:val="ListParagraph"/>
        <w:numPr>
          <w:ilvl w:val="0"/>
          <w:numId w:val="5"/>
        </w:numPr>
        <w:spacing w:after="160" w:line="259" w:lineRule="auto"/>
      </w:pPr>
      <w:r w:rsidRPr="00A52C34">
        <w:rPr>
          <w:b/>
        </w:rPr>
        <w:t>Orientation to learning:</w:t>
      </w:r>
      <w:r w:rsidRPr="00926D59">
        <w:t xml:space="preserve"> </w:t>
      </w:r>
      <w:r w:rsidR="00342B7F">
        <w:t>a</w:t>
      </w:r>
      <w:r w:rsidRPr="00926D59">
        <w:t>t school, children study ‘subjects’ in order to pa</w:t>
      </w:r>
      <w:r w:rsidR="00A52C34">
        <w:t xml:space="preserve">ss examinations, go to college or </w:t>
      </w:r>
      <w:r w:rsidR="00A52C34" w:rsidRPr="00926D59">
        <w:t>get</w:t>
      </w:r>
      <w:r w:rsidRPr="00926D59">
        <w:t xml:space="preserve"> a job. Adults, on the other hand, come to the learning experience to equip them to deal with practical, immediate demands of their life. Learning therefore needs to be problem-centred, not subject</w:t>
      </w:r>
      <w:r w:rsidR="008B2618">
        <w:t>-</w:t>
      </w:r>
      <w:r w:rsidRPr="00926D59">
        <w:t xml:space="preserve">centred; and to focus on application in the short-term. </w:t>
      </w:r>
    </w:p>
    <w:p w:rsidR="00A52C34" w:rsidRDefault="00926D59" w:rsidP="00926D59">
      <w:pPr>
        <w:autoSpaceDE w:val="0"/>
        <w:autoSpaceDN w:val="0"/>
        <w:adjustRightInd w:val="0"/>
        <w:spacing w:after="0" w:line="240" w:lineRule="auto"/>
        <w:rPr>
          <w:rFonts w:cs="Arial"/>
        </w:rPr>
      </w:pPr>
      <w:r w:rsidRPr="00926D59">
        <w:t xml:space="preserve">Knowles gave many concrete guidelines on the practical implications of taking an </w:t>
      </w:r>
      <w:proofErr w:type="spellStart"/>
      <w:r w:rsidRPr="00926D59">
        <w:t>androgogical</w:t>
      </w:r>
      <w:proofErr w:type="spellEnd"/>
      <w:r w:rsidRPr="00926D59">
        <w:t xml:space="preserve"> approach to adult education. He cautioned against </w:t>
      </w:r>
      <w:r w:rsidRPr="00926D59">
        <w:rPr>
          <w:rFonts w:cs="Arial"/>
        </w:rPr>
        <w:t xml:space="preserve">restricting teaching to “transmission” methods associated with pedagogy: fact-laden lectures, assigned readings, drill, quizzes, rote memorizing, and examinations. </w:t>
      </w:r>
    </w:p>
    <w:p w:rsidR="00A52C34" w:rsidRDefault="00A52C34" w:rsidP="00926D59">
      <w:pPr>
        <w:autoSpaceDE w:val="0"/>
        <w:autoSpaceDN w:val="0"/>
        <w:adjustRightInd w:val="0"/>
        <w:spacing w:after="0" w:line="240" w:lineRule="auto"/>
        <w:rPr>
          <w:rFonts w:cs="Arial"/>
        </w:rPr>
      </w:pPr>
    </w:p>
    <w:p w:rsidR="00926D59" w:rsidRPr="00926D59" w:rsidRDefault="00926D59" w:rsidP="00926D59">
      <w:pPr>
        <w:autoSpaceDE w:val="0"/>
        <w:autoSpaceDN w:val="0"/>
        <w:adjustRightInd w:val="0"/>
        <w:spacing w:after="0" w:line="240" w:lineRule="auto"/>
        <w:rPr>
          <w:rFonts w:cs="Arial"/>
        </w:rPr>
      </w:pPr>
      <w:r w:rsidRPr="00926D59">
        <w:rPr>
          <w:rFonts w:cs="Arial"/>
        </w:rPr>
        <w:t xml:space="preserve">He recommended using experiential techniques and facilitating practical application such as group discussion, case studies, critical incident analysis , simulation exercises, role playing, skill-practice exercises, field work and action projects. He does acknowledge that the distinction between pedagogy and andragogy is not hard and fast, but rather, that this represents two ends of a continuum. </w:t>
      </w:r>
    </w:p>
    <w:p w:rsidR="00926D59" w:rsidRPr="00926D59" w:rsidRDefault="00926D59" w:rsidP="00926D59">
      <w:pPr>
        <w:autoSpaceDE w:val="0"/>
        <w:autoSpaceDN w:val="0"/>
        <w:adjustRightInd w:val="0"/>
        <w:spacing w:after="0" w:line="240" w:lineRule="auto"/>
        <w:rPr>
          <w:rFonts w:cs="Arial"/>
        </w:rPr>
      </w:pPr>
    </w:p>
    <w:p w:rsidR="00926D59" w:rsidRPr="00926D59" w:rsidRDefault="00926D59" w:rsidP="00926D59">
      <w:pPr>
        <w:autoSpaceDE w:val="0"/>
        <w:autoSpaceDN w:val="0"/>
        <w:adjustRightInd w:val="0"/>
        <w:spacing w:after="0" w:line="240" w:lineRule="auto"/>
        <w:rPr>
          <w:rFonts w:cs="Arial"/>
          <w:color w:val="000000"/>
        </w:rPr>
      </w:pPr>
      <w:r w:rsidRPr="00926D59">
        <w:rPr>
          <w:rFonts w:cs="Arial"/>
          <w:color w:val="000000"/>
        </w:rPr>
        <w:t>Knowles, M. S</w:t>
      </w:r>
      <w:r w:rsidR="00DC3B76">
        <w:rPr>
          <w:rFonts w:cs="Arial"/>
          <w:color w:val="000000"/>
        </w:rPr>
        <w:t>.</w:t>
      </w:r>
      <w:r w:rsidRPr="00926D59">
        <w:rPr>
          <w:rFonts w:cs="Arial"/>
          <w:color w:val="000000"/>
        </w:rPr>
        <w:t xml:space="preserve"> (1970) </w:t>
      </w:r>
      <w:r w:rsidRPr="008164DD">
        <w:rPr>
          <w:rFonts w:cs="Arial"/>
          <w:i/>
          <w:color w:val="000000"/>
        </w:rPr>
        <w:t>The Modern Practice of Adult Education: From Pedagogy to Andragogy</w:t>
      </w:r>
      <w:r w:rsidRPr="00926D59">
        <w:rPr>
          <w:rFonts w:cs="Arial"/>
          <w:color w:val="000000"/>
        </w:rPr>
        <w:t xml:space="preserve"> </w:t>
      </w:r>
      <w:r w:rsidR="00053034">
        <w:rPr>
          <w:rFonts w:cs="Arial"/>
          <w:color w:val="000000"/>
        </w:rPr>
        <w:t>(</w:t>
      </w:r>
      <w:r w:rsidR="00053034" w:rsidRPr="00926D59">
        <w:rPr>
          <w:rFonts w:cs="Arial"/>
          <w:color w:val="000000"/>
        </w:rPr>
        <w:t xml:space="preserve">Englewood Cliffs, </w:t>
      </w:r>
      <w:proofErr w:type="gramStart"/>
      <w:r w:rsidR="00053034" w:rsidRPr="00926D59">
        <w:rPr>
          <w:rFonts w:cs="Arial"/>
          <w:color w:val="000000"/>
        </w:rPr>
        <w:t xml:space="preserve">NJ </w:t>
      </w:r>
      <w:r w:rsidR="00053034">
        <w:rPr>
          <w:rFonts w:cs="Arial"/>
          <w:color w:val="000000"/>
        </w:rPr>
        <w:t>:</w:t>
      </w:r>
      <w:proofErr w:type="gramEnd"/>
      <w:r w:rsidR="00053034">
        <w:rPr>
          <w:rFonts w:cs="Arial"/>
          <w:color w:val="000000"/>
        </w:rPr>
        <w:t xml:space="preserve"> </w:t>
      </w:r>
      <w:r w:rsidRPr="00926D59">
        <w:rPr>
          <w:rFonts w:cs="Arial"/>
          <w:color w:val="000000"/>
        </w:rPr>
        <w:t>Cambridge Adult Education/Prentice Hall Regents</w:t>
      </w:r>
      <w:r w:rsidR="00053034">
        <w:rPr>
          <w:rFonts w:cs="Arial"/>
          <w:color w:val="000000"/>
        </w:rPr>
        <w:t>)</w:t>
      </w:r>
      <w:r w:rsidRPr="00926D59">
        <w:rPr>
          <w:rFonts w:cs="Arial"/>
          <w:color w:val="000000"/>
        </w:rPr>
        <w:t xml:space="preserve"> </w:t>
      </w:r>
      <w:r w:rsidR="00053034">
        <w:rPr>
          <w:rFonts w:cs="Arial"/>
          <w:color w:val="000000"/>
        </w:rPr>
        <w:t xml:space="preserve">, </w:t>
      </w:r>
      <w:r w:rsidRPr="00926D59">
        <w:rPr>
          <w:rFonts w:cs="Arial"/>
          <w:color w:val="000000"/>
        </w:rPr>
        <w:t>pp 40 – 61. pp 43 – 44.</w:t>
      </w:r>
    </w:p>
    <w:p w:rsidR="00926D59" w:rsidRPr="00926D59" w:rsidRDefault="00926D59" w:rsidP="00926D59">
      <w:pPr>
        <w:spacing w:line="240" w:lineRule="auto"/>
      </w:pPr>
      <w:r w:rsidRPr="00926D59">
        <w:t>Knowles</w:t>
      </w:r>
      <w:r w:rsidR="00053034">
        <w:t>, M. S.</w:t>
      </w:r>
      <w:r w:rsidRPr="00926D59">
        <w:t xml:space="preserve"> (1973)</w:t>
      </w:r>
      <w:r w:rsidRPr="00926D59">
        <w:rPr>
          <w:b/>
        </w:rPr>
        <w:t xml:space="preserve"> </w:t>
      </w:r>
      <w:r w:rsidRPr="008164DD">
        <w:rPr>
          <w:i/>
        </w:rPr>
        <w:t xml:space="preserve">The Adult </w:t>
      </w:r>
      <w:r w:rsidR="00DE6703" w:rsidRPr="008164DD">
        <w:rPr>
          <w:i/>
        </w:rPr>
        <w:t>Learner: A Neglected Species</w:t>
      </w:r>
      <w:r w:rsidR="00D52AD1">
        <w:rPr>
          <w:i/>
        </w:rPr>
        <w:t xml:space="preserve"> </w:t>
      </w:r>
      <w:r w:rsidR="00053034">
        <w:t>(</w:t>
      </w:r>
      <w:r w:rsidRPr="00926D59">
        <w:t>Houston: Gulf</w:t>
      </w:r>
      <w:r w:rsidR="00053034">
        <w:t xml:space="preserve"> Publishing Company) </w:t>
      </w:r>
      <w:r w:rsidRPr="00926D59">
        <w:t>/American Society for Training and Development</w:t>
      </w:r>
      <w:r w:rsidR="00053034">
        <w:t>)</w:t>
      </w:r>
      <w:r w:rsidR="00342B7F">
        <w:t>.</w:t>
      </w:r>
    </w:p>
    <w:sectPr w:rsidR="00926D59" w:rsidRPr="00926D59" w:rsidSect="00447C4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F8" w:rsidRDefault="000F11F8" w:rsidP="00447C4C">
      <w:pPr>
        <w:spacing w:after="0" w:line="240" w:lineRule="auto"/>
      </w:pPr>
      <w:r>
        <w:separator/>
      </w:r>
    </w:p>
  </w:endnote>
  <w:endnote w:type="continuationSeparator" w:id="0">
    <w:p w:rsidR="000F11F8" w:rsidRDefault="000F11F8" w:rsidP="0044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8F" w:rsidRPr="00363561" w:rsidRDefault="00213154">
    <w:pPr>
      <w:pStyle w:val="Footer"/>
      <w:rPr>
        <w:rFonts w:eastAsiaTheme="majorEastAsia" w:cstheme="majorBidi"/>
        <w:color w:val="002060"/>
      </w:rPr>
    </w:pPr>
    <w:r>
      <w:rPr>
        <w:rFonts w:eastAsiaTheme="majorEastAsia" w:cstheme="majorBidi"/>
        <w:color w:val="002060"/>
      </w:rPr>
      <w:t>HO 1.3</w:t>
    </w:r>
    <w:r w:rsidR="003F02C2" w:rsidRPr="00363561">
      <w:rPr>
        <w:rFonts w:eastAsiaTheme="majorEastAsia" w:cstheme="majorBidi"/>
        <w:color w:val="002060"/>
      </w:rPr>
      <w:t xml:space="preserve"> Knowles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F8" w:rsidRDefault="000F11F8" w:rsidP="00447C4C">
      <w:pPr>
        <w:spacing w:after="0" w:line="240" w:lineRule="auto"/>
      </w:pPr>
      <w:r>
        <w:separator/>
      </w:r>
    </w:p>
  </w:footnote>
  <w:footnote w:type="continuationSeparator" w:id="0">
    <w:p w:rsidR="000F11F8" w:rsidRDefault="000F11F8" w:rsidP="0044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4C" w:rsidRPr="00DE6703" w:rsidRDefault="00AF42B9" w:rsidP="00213154">
    <w:pPr>
      <w:ind w:left="-567"/>
      <w:jc w:val="both"/>
      <w:outlineLvl w:val="0"/>
      <w:rPr>
        <w:b/>
        <w:bCs/>
        <w:color w:val="002060"/>
        <w:sz w:val="40"/>
        <w:szCs w:val="40"/>
        <w:lang w:val="en-US"/>
      </w:rPr>
    </w:pPr>
    <w:r>
      <w:rPr>
        <w:b/>
        <w:bCs/>
        <w:noProof/>
        <w:color w:val="002060"/>
        <w:sz w:val="40"/>
        <w:szCs w:val="40"/>
      </w:rPr>
      <w:drawing>
        <wp:anchor distT="0" distB="0" distL="114300" distR="114300" simplePos="0" relativeHeight="251666432" behindDoc="1" locked="0" layoutInCell="1" allowOverlap="1">
          <wp:simplePos x="0" y="0"/>
          <wp:positionH relativeFrom="column">
            <wp:posOffset>-542925</wp:posOffset>
          </wp:positionH>
          <wp:positionV relativeFrom="paragraph">
            <wp:posOffset>-363855</wp:posOffset>
          </wp:positionV>
          <wp:extent cx="6515100" cy="8858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515100" cy="885825"/>
                  </a:xfrm>
                  <a:prstGeom prst="rect">
                    <a:avLst/>
                  </a:prstGeom>
                  <a:noFill/>
                </pic:spPr>
              </pic:pic>
            </a:graphicData>
          </a:graphic>
        </wp:anchor>
      </w:drawing>
    </w:r>
    <w:r w:rsidR="00DE6703">
      <w:rPr>
        <w:b/>
        <w:bCs/>
        <w:noProof/>
        <w:color w:val="002060"/>
        <w:sz w:val="40"/>
        <w:szCs w:val="40"/>
      </w:rPr>
      <w:drawing>
        <wp:anchor distT="0" distB="0" distL="114300" distR="114300" simplePos="0" relativeHeight="251662336" behindDoc="0" locked="0" layoutInCell="1" allowOverlap="1">
          <wp:simplePos x="0" y="0"/>
          <wp:positionH relativeFrom="column">
            <wp:posOffset>5278622</wp:posOffset>
          </wp:positionH>
          <wp:positionV relativeFrom="paragraph">
            <wp:posOffset>-45543</wp:posOffset>
          </wp:positionV>
          <wp:extent cx="1164708" cy="567070"/>
          <wp:effectExtent l="19050" t="0" r="0" b="0"/>
          <wp:wrapNone/>
          <wp:docPr id="9"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2"/>
                  <a:srcRect/>
                  <a:stretch>
                    <a:fillRect/>
                  </a:stretch>
                </pic:blipFill>
                <pic:spPr bwMode="auto">
                  <a:xfrm>
                    <a:off x="0" y="0"/>
                    <a:ext cx="1164708" cy="567070"/>
                  </a:xfrm>
                  <a:prstGeom prst="rect">
                    <a:avLst/>
                  </a:prstGeom>
                  <a:noFill/>
                </pic:spPr>
              </pic:pic>
            </a:graphicData>
          </a:graphic>
        </wp:anchor>
      </w:drawing>
    </w:r>
    <w:r w:rsidR="00DE6703">
      <w:rPr>
        <w:b/>
        <w:bCs/>
        <w:noProof/>
        <w:color w:val="002060"/>
        <w:sz w:val="40"/>
        <w:szCs w:val="40"/>
      </w:rPr>
      <w:drawing>
        <wp:anchor distT="0" distB="0" distL="114300" distR="114300" simplePos="0" relativeHeight="251665408" behindDoc="0" locked="0" layoutInCell="1" allowOverlap="1">
          <wp:simplePos x="0" y="0"/>
          <wp:positionH relativeFrom="column">
            <wp:posOffset>5278415</wp:posOffset>
          </wp:positionH>
          <wp:positionV relativeFrom="paragraph">
            <wp:posOffset>-44574</wp:posOffset>
          </wp:positionV>
          <wp:extent cx="1164708" cy="567070"/>
          <wp:effectExtent l="19050" t="0" r="0" b="0"/>
          <wp:wrapNone/>
          <wp:docPr id="3"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2"/>
                  <a:srcRect/>
                  <a:stretch>
                    <a:fillRect/>
                  </a:stretch>
                </pic:blipFill>
                <pic:spPr bwMode="auto">
                  <a:xfrm>
                    <a:off x="0" y="0"/>
                    <a:ext cx="1164708" cy="567070"/>
                  </a:xfrm>
                  <a:prstGeom prst="rect">
                    <a:avLst/>
                  </a:prstGeom>
                  <a:noFill/>
                </pic:spPr>
              </pic:pic>
            </a:graphicData>
          </a:graphic>
        </wp:anchor>
      </w:drawing>
    </w:r>
    <w:r w:rsidR="00DE6703" w:rsidRPr="001C3040">
      <w:rPr>
        <w:b/>
        <w:bCs/>
        <w:color w:val="002060"/>
        <w:sz w:val="40"/>
        <w:szCs w:val="40"/>
        <w:lang w:val="en-US"/>
      </w:rPr>
      <w:t xml:space="preserve">Adult Literacy </w:t>
    </w:r>
    <w:r w:rsidR="00213154">
      <w:rPr>
        <w:b/>
        <w:bCs/>
        <w:color w:val="002060"/>
        <w:sz w:val="40"/>
        <w:szCs w:val="40"/>
        <w:lang w:val="en-US"/>
      </w:rPr>
      <w:t>Awareness</w:t>
    </w:r>
    <w:r w:rsidR="00DE6703" w:rsidRPr="001C3040">
      <w:rPr>
        <w:b/>
        <w:bCs/>
        <w:color w:val="002060"/>
        <w:sz w:val="40"/>
        <w:szCs w:val="40"/>
        <w:lang w:val="en-US"/>
      </w:rPr>
      <w:t xml:space="preserve"> Course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A86"/>
    <w:multiLevelType w:val="hybridMultilevel"/>
    <w:tmpl w:val="CD26CB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E9E4C7E"/>
    <w:multiLevelType w:val="hybridMultilevel"/>
    <w:tmpl w:val="DF123F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1A9597C"/>
    <w:multiLevelType w:val="hybridMultilevel"/>
    <w:tmpl w:val="385ED7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2845170"/>
    <w:multiLevelType w:val="hybridMultilevel"/>
    <w:tmpl w:val="28301AD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D2A1888"/>
    <w:multiLevelType w:val="hybridMultilevel"/>
    <w:tmpl w:val="F0F6A7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4C"/>
    <w:rsid w:val="000419BC"/>
    <w:rsid w:val="000466EE"/>
    <w:rsid w:val="0005261E"/>
    <w:rsid w:val="00053034"/>
    <w:rsid w:val="00056E3B"/>
    <w:rsid w:val="00074968"/>
    <w:rsid w:val="000950A1"/>
    <w:rsid w:val="000A585B"/>
    <w:rsid w:val="000F11F8"/>
    <w:rsid w:val="001054C9"/>
    <w:rsid w:val="001211A1"/>
    <w:rsid w:val="00130BE3"/>
    <w:rsid w:val="00135AE5"/>
    <w:rsid w:val="001859F7"/>
    <w:rsid w:val="00213154"/>
    <w:rsid w:val="00294F93"/>
    <w:rsid w:val="002C30B7"/>
    <w:rsid w:val="002C3AE6"/>
    <w:rsid w:val="00342B7F"/>
    <w:rsid w:val="00347530"/>
    <w:rsid w:val="00363561"/>
    <w:rsid w:val="003F02C2"/>
    <w:rsid w:val="00427B80"/>
    <w:rsid w:val="00430CBB"/>
    <w:rsid w:val="0044180E"/>
    <w:rsid w:val="00447C4C"/>
    <w:rsid w:val="004702AA"/>
    <w:rsid w:val="004C108F"/>
    <w:rsid w:val="00504306"/>
    <w:rsid w:val="00546FF5"/>
    <w:rsid w:val="0059275A"/>
    <w:rsid w:val="006A473E"/>
    <w:rsid w:val="006F0EAD"/>
    <w:rsid w:val="008164DD"/>
    <w:rsid w:val="00834896"/>
    <w:rsid w:val="008801A6"/>
    <w:rsid w:val="00880BFC"/>
    <w:rsid w:val="008B2618"/>
    <w:rsid w:val="0090082A"/>
    <w:rsid w:val="00912B05"/>
    <w:rsid w:val="00926D59"/>
    <w:rsid w:val="0097439C"/>
    <w:rsid w:val="009B24AF"/>
    <w:rsid w:val="00A01259"/>
    <w:rsid w:val="00A52C34"/>
    <w:rsid w:val="00AB64B0"/>
    <w:rsid w:val="00AF42B9"/>
    <w:rsid w:val="00B06928"/>
    <w:rsid w:val="00B36C10"/>
    <w:rsid w:val="00B55300"/>
    <w:rsid w:val="00B66EEE"/>
    <w:rsid w:val="00B70972"/>
    <w:rsid w:val="00C228AB"/>
    <w:rsid w:val="00C24377"/>
    <w:rsid w:val="00C309A7"/>
    <w:rsid w:val="00C571D9"/>
    <w:rsid w:val="00CC2FFF"/>
    <w:rsid w:val="00D218E4"/>
    <w:rsid w:val="00D34C1B"/>
    <w:rsid w:val="00D52AD1"/>
    <w:rsid w:val="00DC3B76"/>
    <w:rsid w:val="00DE6703"/>
    <w:rsid w:val="00DE6A24"/>
    <w:rsid w:val="00DE70A5"/>
    <w:rsid w:val="00EB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C500E2-5518-4E32-817D-161EADFB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C4C"/>
  </w:style>
  <w:style w:type="paragraph" w:styleId="Footer">
    <w:name w:val="footer"/>
    <w:basedOn w:val="Normal"/>
    <w:link w:val="FooterChar"/>
    <w:uiPriority w:val="99"/>
    <w:unhideWhenUsed/>
    <w:rsid w:val="00447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C4C"/>
  </w:style>
  <w:style w:type="paragraph" w:styleId="ListParagraph">
    <w:name w:val="List Paragraph"/>
    <w:basedOn w:val="Normal"/>
    <w:uiPriority w:val="34"/>
    <w:qFormat/>
    <w:rsid w:val="004702AA"/>
    <w:pPr>
      <w:ind w:left="720"/>
      <w:contextualSpacing/>
    </w:pPr>
  </w:style>
  <w:style w:type="character" w:styleId="CommentReference">
    <w:name w:val="annotation reference"/>
    <w:basedOn w:val="DefaultParagraphFont"/>
    <w:uiPriority w:val="99"/>
    <w:semiHidden/>
    <w:unhideWhenUsed/>
    <w:rsid w:val="00A01259"/>
    <w:rPr>
      <w:sz w:val="16"/>
      <w:szCs w:val="16"/>
    </w:rPr>
  </w:style>
  <w:style w:type="paragraph" w:styleId="CommentText">
    <w:name w:val="annotation text"/>
    <w:basedOn w:val="Normal"/>
    <w:link w:val="CommentTextChar"/>
    <w:uiPriority w:val="99"/>
    <w:unhideWhenUsed/>
    <w:rsid w:val="00A01259"/>
    <w:pPr>
      <w:spacing w:line="240" w:lineRule="auto"/>
    </w:pPr>
    <w:rPr>
      <w:sz w:val="20"/>
      <w:szCs w:val="20"/>
    </w:rPr>
  </w:style>
  <w:style w:type="character" w:customStyle="1" w:styleId="CommentTextChar">
    <w:name w:val="Comment Text Char"/>
    <w:basedOn w:val="DefaultParagraphFont"/>
    <w:link w:val="CommentText"/>
    <w:uiPriority w:val="99"/>
    <w:rsid w:val="00A01259"/>
    <w:rPr>
      <w:sz w:val="20"/>
      <w:szCs w:val="20"/>
    </w:rPr>
  </w:style>
  <w:style w:type="paragraph" w:styleId="CommentSubject">
    <w:name w:val="annotation subject"/>
    <w:basedOn w:val="CommentText"/>
    <w:next w:val="CommentText"/>
    <w:link w:val="CommentSubjectChar"/>
    <w:uiPriority w:val="99"/>
    <w:semiHidden/>
    <w:unhideWhenUsed/>
    <w:rsid w:val="00A01259"/>
    <w:rPr>
      <w:b/>
      <w:bCs/>
    </w:rPr>
  </w:style>
  <w:style w:type="character" w:customStyle="1" w:styleId="CommentSubjectChar">
    <w:name w:val="Comment Subject Char"/>
    <w:basedOn w:val="CommentTextChar"/>
    <w:link w:val="CommentSubject"/>
    <w:uiPriority w:val="99"/>
    <w:semiHidden/>
    <w:rsid w:val="00A01259"/>
    <w:rPr>
      <w:b/>
      <w:bCs/>
      <w:sz w:val="20"/>
      <w:szCs w:val="20"/>
    </w:rPr>
  </w:style>
  <w:style w:type="paragraph" w:styleId="BalloonText">
    <w:name w:val="Balloon Text"/>
    <w:basedOn w:val="Normal"/>
    <w:link w:val="BalloonTextChar"/>
    <w:uiPriority w:val="99"/>
    <w:semiHidden/>
    <w:unhideWhenUsed/>
    <w:rsid w:val="00A01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A41B7-C245-44A6-A5C7-09CBED5A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4DB7D-3653-46E4-8D84-6583024DB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8BB682-C990-40FE-8C17-A76EBFFA3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liz.mchugh</dc:creator>
  <cp:lastModifiedBy>Gwen Redmond</cp:lastModifiedBy>
  <cp:revision>4</cp:revision>
  <cp:lastPrinted>2014-09-19T13:11:00Z</cp:lastPrinted>
  <dcterms:created xsi:type="dcterms:W3CDTF">2021-05-25T17:42:00Z</dcterms:created>
  <dcterms:modified xsi:type="dcterms:W3CDTF">2021-06-03T08:36:00Z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