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39D92" w14:textId="2294A6A2" w:rsidR="00997BEE" w:rsidRPr="00BB06A5" w:rsidRDefault="76B1E2C7" w:rsidP="76B1E2C7">
      <w:pPr>
        <w:rPr>
          <w:rFonts w:ascii="Arial" w:hAnsi="Arial" w:cs="Arial"/>
          <w:b/>
          <w:bCs/>
          <w:color w:val="002060"/>
          <w:sz w:val="40"/>
          <w:szCs w:val="40"/>
        </w:rPr>
      </w:pPr>
      <w:r w:rsidRPr="76B1E2C7">
        <w:rPr>
          <w:rFonts w:ascii="Arial" w:hAnsi="Arial" w:cs="Arial"/>
          <w:b/>
          <w:bCs/>
          <w:color w:val="002060"/>
          <w:sz w:val="40"/>
          <w:szCs w:val="40"/>
        </w:rPr>
        <w:t>City of Dublin Education and Training Board</w:t>
      </w:r>
    </w:p>
    <w:p w14:paraId="672A6659" w14:textId="77777777" w:rsidR="00997BEE" w:rsidRPr="006B00AA" w:rsidRDefault="00997BEE" w:rsidP="00997BEE">
      <w:pPr>
        <w:pStyle w:val="contentheader"/>
        <w:pBdr>
          <w:top w:val="single" w:sz="18" w:space="1" w:color="365F91" w:themeColor="accent1" w:themeShade="BF"/>
        </w:pBdr>
        <w:spacing w:line="276" w:lineRule="auto"/>
        <w:rPr>
          <w:rFonts w:ascii="Arial" w:hAnsi="Arial" w:cs="Arial"/>
          <w:sz w:val="10"/>
          <w:szCs w:val="10"/>
        </w:rPr>
      </w:pPr>
    </w:p>
    <w:p w14:paraId="30BA0197" w14:textId="77777777" w:rsidR="00341B76" w:rsidRDefault="00341B76" w:rsidP="00341B76">
      <w:r w:rsidRPr="00904EE7">
        <w:t>CD</w:t>
      </w:r>
      <w:r>
        <w:t>ETB (formerly CDVEC)</w:t>
      </w:r>
      <w:r w:rsidRPr="00904EE7">
        <w:t xml:space="preserve"> has </w:t>
      </w:r>
      <w:r>
        <w:t xml:space="preserve">been </w:t>
      </w:r>
      <w:r w:rsidRPr="00904EE7">
        <w:t>provid</w:t>
      </w:r>
      <w:r>
        <w:t xml:space="preserve">ing </w:t>
      </w:r>
      <w:r w:rsidRPr="00904EE7">
        <w:t>education services across the City of Dublin</w:t>
      </w:r>
      <w:r>
        <w:t xml:space="preserve"> since the 1930s</w:t>
      </w:r>
      <w:r w:rsidRPr="00904EE7">
        <w:t xml:space="preserve">.  Our services have grown to include 22 schools and colleges, 10 </w:t>
      </w:r>
      <w:proofErr w:type="spellStart"/>
      <w:r w:rsidRPr="00904EE7">
        <w:t>Youthreach</w:t>
      </w:r>
      <w:proofErr w:type="spellEnd"/>
      <w:r w:rsidRPr="00904EE7">
        <w:t xml:space="preserve"> centres, </w:t>
      </w:r>
      <w:r w:rsidR="00342C28">
        <w:t xml:space="preserve">education centres in each of the prisons in the city, </w:t>
      </w:r>
      <w:r w:rsidRPr="00904EE7">
        <w:t>a</w:t>
      </w:r>
      <w:r>
        <w:t xml:space="preserve"> CDETB A</w:t>
      </w:r>
      <w:r w:rsidRPr="00904EE7">
        <w:t xml:space="preserve">dult Education Service operating </w:t>
      </w:r>
      <w:r w:rsidR="00342C28">
        <w:t>across the city</w:t>
      </w:r>
      <w:r w:rsidRPr="00904EE7">
        <w:t>, a youth service</w:t>
      </w:r>
      <w:r w:rsidR="00342C28">
        <w:t>,</w:t>
      </w:r>
      <w:r w:rsidRPr="00904EE7">
        <w:t xml:space="preserve"> CDYSB</w:t>
      </w:r>
      <w:r w:rsidR="00342C28">
        <w:t xml:space="preserve"> </w:t>
      </w:r>
      <w:r w:rsidR="007C1E84">
        <w:t xml:space="preserve">(City of Dublin Youth Service Board) </w:t>
      </w:r>
      <w:r w:rsidRPr="00904EE7">
        <w:t xml:space="preserve">operating citywide and a series of specially targeted programmes. </w:t>
      </w:r>
      <w:r>
        <w:t xml:space="preserve"> </w:t>
      </w:r>
    </w:p>
    <w:p w14:paraId="0A64DA35" w14:textId="77777777" w:rsidR="00341B76" w:rsidRDefault="00341B76" w:rsidP="00341B76">
      <w:r>
        <w:t>By 2013 this</w:t>
      </w:r>
      <w:r w:rsidRPr="00904EE7">
        <w:t xml:space="preserve"> provision </w:t>
      </w:r>
      <w:r>
        <w:t>was being</w:t>
      </w:r>
      <w:r w:rsidRPr="00904EE7">
        <w:t xml:space="preserve"> delivered by app</w:t>
      </w:r>
      <w:r>
        <w:t>roximately 3,000 staff to over 4</w:t>
      </w:r>
      <w:r w:rsidRPr="00904EE7">
        <w:t xml:space="preserve">0,000 learners and is supported by a school psychological service, a curriculum development unit, </w:t>
      </w:r>
      <w:r>
        <w:t>s</w:t>
      </w:r>
      <w:r w:rsidRPr="00904EE7">
        <w:t>ports and cultural council</w:t>
      </w:r>
      <w:r>
        <w:t>,</w:t>
      </w:r>
      <w:r w:rsidRPr="00904EE7">
        <w:t xml:space="preserve"> a buildings maintenance unit</w:t>
      </w:r>
      <w:r>
        <w:t xml:space="preserve"> </w:t>
      </w:r>
      <w:r w:rsidRPr="00904EE7">
        <w:t xml:space="preserve">and staff in </w:t>
      </w:r>
      <w:r>
        <w:t xml:space="preserve">CDETB </w:t>
      </w:r>
      <w:r w:rsidRPr="00904EE7">
        <w:t xml:space="preserve">Head Office in Ballsbridge. </w:t>
      </w:r>
    </w:p>
    <w:p w14:paraId="29035069" w14:textId="77777777" w:rsidR="00711609" w:rsidRPr="00997BEE" w:rsidRDefault="00711609" w:rsidP="00997BEE">
      <w:pPr>
        <w:pBdr>
          <w:bottom w:val="single" w:sz="18" w:space="1" w:color="365F91" w:themeColor="accent1" w:themeShade="BF"/>
        </w:pBdr>
        <w:shd w:val="clear" w:color="auto" w:fill="FFFFFF"/>
        <w:spacing w:before="100" w:beforeAutospacing="1" w:after="100" w:afterAutospacing="1" w:line="240" w:lineRule="auto"/>
        <w:outlineLvl w:val="1"/>
        <w:rPr>
          <w:rFonts w:eastAsia="Times New Roman" w:cs="Arial"/>
          <w:b/>
          <w:color w:val="002060"/>
          <w:kern w:val="36"/>
          <w:sz w:val="32"/>
          <w:szCs w:val="32"/>
          <w:lang w:eastAsia="en-IE"/>
        </w:rPr>
      </w:pPr>
      <w:r w:rsidRPr="00997BEE">
        <w:rPr>
          <w:rFonts w:eastAsia="Times New Roman" w:cs="Arial"/>
          <w:b/>
          <w:color w:val="002060"/>
          <w:kern w:val="36"/>
          <w:sz w:val="32"/>
          <w:szCs w:val="32"/>
          <w:lang w:eastAsia="en-IE"/>
        </w:rPr>
        <w:t>Adult Education</w:t>
      </w:r>
    </w:p>
    <w:p w14:paraId="58C52F0E" w14:textId="77777777" w:rsidR="00341B76" w:rsidRPr="006B00AA" w:rsidRDefault="76B1E2C7" w:rsidP="76B1E2C7">
      <w:pPr>
        <w:rPr>
          <w:rFonts w:eastAsia="Times New Roman" w:cs="Arial"/>
          <w:color w:val="333333"/>
          <w:lang w:eastAsia="en-IE"/>
        </w:rPr>
      </w:pPr>
      <w:r w:rsidRPr="76B1E2C7">
        <w:rPr>
          <w:rFonts w:eastAsia="Times New Roman" w:cs="Arial"/>
          <w:color w:val="333333"/>
          <w:lang w:eastAsia="en-IE"/>
        </w:rPr>
        <w:t>The aim of the CDETB Adult Education Service is to encourage, enable and support adults who wish to return to education to avail of the educational opportunities that best suit their needs.</w:t>
      </w:r>
    </w:p>
    <w:p w14:paraId="7CFE05D6" w14:textId="77777777" w:rsidR="00341B76" w:rsidRPr="006B00AA" w:rsidRDefault="00341B76" w:rsidP="00341B76">
      <w:r w:rsidRPr="006B00AA">
        <w:t>The CDETB believes that:</w:t>
      </w:r>
    </w:p>
    <w:p w14:paraId="6ADCFC61" w14:textId="77777777" w:rsidR="00341B76" w:rsidRPr="006B00AA" w:rsidRDefault="00341B76" w:rsidP="00341B76">
      <w:pPr>
        <w:pStyle w:val="ListParagraph"/>
        <w:numPr>
          <w:ilvl w:val="0"/>
          <w:numId w:val="3"/>
        </w:numPr>
        <w:spacing w:after="60" w:line="240" w:lineRule="auto"/>
        <w:ind w:left="714" w:hanging="357"/>
      </w:pPr>
      <w:r w:rsidRPr="006B00AA">
        <w:t>Every person has a right to education, training and learning opportunities that will enable them to achieve their full potential.</w:t>
      </w:r>
    </w:p>
    <w:p w14:paraId="18DDA72A" w14:textId="77777777" w:rsidR="00341B76" w:rsidRPr="006B00AA" w:rsidRDefault="00341B76" w:rsidP="00341B76">
      <w:pPr>
        <w:pStyle w:val="ListParagraph"/>
        <w:numPr>
          <w:ilvl w:val="0"/>
          <w:numId w:val="3"/>
        </w:numPr>
        <w:spacing w:after="60" w:line="240" w:lineRule="auto"/>
        <w:ind w:left="714" w:hanging="357"/>
      </w:pPr>
      <w:r w:rsidRPr="006B00AA">
        <w:t>People should be provided with educational, training and learning opportunities in a flexible and responsive manner that best suits their learning styles.</w:t>
      </w:r>
    </w:p>
    <w:p w14:paraId="5B42540C" w14:textId="77777777" w:rsidR="00341B76" w:rsidRPr="006B00AA" w:rsidRDefault="00341B76" w:rsidP="00341B76">
      <w:pPr>
        <w:pStyle w:val="ListParagraph"/>
        <w:numPr>
          <w:ilvl w:val="0"/>
          <w:numId w:val="3"/>
        </w:numPr>
        <w:spacing w:after="60" w:line="240" w:lineRule="auto"/>
        <w:ind w:left="714" w:hanging="357"/>
      </w:pPr>
      <w:r w:rsidRPr="006B00AA">
        <w:t xml:space="preserve">Learners should be informed and advised about appropriate education and training progression routes. </w:t>
      </w:r>
    </w:p>
    <w:p w14:paraId="1AC5441B" w14:textId="77777777" w:rsidR="00341B76" w:rsidRPr="006B00AA" w:rsidRDefault="00341B76" w:rsidP="00341B76">
      <w:pPr>
        <w:pStyle w:val="ListParagraph"/>
        <w:numPr>
          <w:ilvl w:val="0"/>
          <w:numId w:val="3"/>
        </w:numPr>
        <w:spacing w:after="60" w:line="240" w:lineRule="auto"/>
        <w:ind w:left="714" w:hanging="357"/>
      </w:pPr>
      <w:r w:rsidRPr="006B00AA">
        <w:t xml:space="preserve">Education and training is a key response to addressing social inclusion. </w:t>
      </w:r>
    </w:p>
    <w:p w14:paraId="0297B3E0" w14:textId="77777777" w:rsidR="00341B76" w:rsidRPr="006B00AA" w:rsidRDefault="00341B76" w:rsidP="00341B76">
      <w:pPr>
        <w:pStyle w:val="ListParagraph"/>
        <w:numPr>
          <w:ilvl w:val="0"/>
          <w:numId w:val="3"/>
        </w:numPr>
        <w:spacing w:after="60" w:line="240" w:lineRule="auto"/>
        <w:ind w:left="714" w:hanging="357"/>
      </w:pPr>
      <w:r w:rsidRPr="006B00AA">
        <w:t xml:space="preserve">Communities, employers and other stakeholders should be consulted in the development and delivery of our educational and training services. </w:t>
      </w:r>
    </w:p>
    <w:p w14:paraId="13343418" w14:textId="77777777" w:rsidR="00341B76" w:rsidRPr="006B00AA" w:rsidRDefault="00341B76" w:rsidP="00341B76">
      <w:pPr>
        <w:pStyle w:val="ListParagraph"/>
        <w:numPr>
          <w:ilvl w:val="0"/>
          <w:numId w:val="3"/>
        </w:numPr>
        <w:spacing w:after="60" w:line="240" w:lineRule="auto"/>
        <w:ind w:left="714" w:hanging="357"/>
      </w:pPr>
      <w:r w:rsidRPr="006B00AA">
        <w:t>Equality and fairness must inform our policies and actions.</w:t>
      </w:r>
    </w:p>
    <w:p w14:paraId="4ADAF94F" w14:textId="77777777" w:rsidR="00341B76" w:rsidRPr="006B00AA" w:rsidRDefault="00341B76" w:rsidP="00341B76">
      <w:pPr>
        <w:pStyle w:val="ListParagraph"/>
        <w:numPr>
          <w:ilvl w:val="0"/>
          <w:numId w:val="3"/>
        </w:numPr>
        <w:spacing w:after="60" w:line="240" w:lineRule="auto"/>
        <w:ind w:left="714" w:hanging="357"/>
      </w:pPr>
      <w:r w:rsidRPr="006B00AA">
        <w:t xml:space="preserve">Our staff </w:t>
      </w:r>
      <w:r w:rsidR="004B2BD6">
        <w:t xml:space="preserve">and volunteers </w:t>
      </w:r>
      <w:r w:rsidRPr="006B00AA">
        <w:t>are our most important resource in providing a high quality education and training service and in the development of curricula.</w:t>
      </w:r>
    </w:p>
    <w:p w14:paraId="0A37501D" w14:textId="77777777" w:rsidR="00341B76" w:rsidRPr="006B00AA" w:rsidRDefault="00341B76" w:rsidP="00711609">
      <w:pPr>
        <w:shd w:val="clear" w:color="auto" w:fill="FFFFFF"/>
        <w:spacing w:after="0" w:line="240" w:lineRule="auto"/>
        <w:rPr>
          <w:rFonts w:eastAsia="Times New Roman" w:cs="Arial"/>
          <w:b/>
          <w:bCs/>
          <w:color w:val="00B0F0"/>
          <w:lang w:eastAsia="en-IE"/>
        </w:rPr>
      </w:pPr>
    </w:p>
    <w:p w14:paraId="3AE441B7" w14:textId="77777777" w:rsidR="00711609" w:rsidRPr="006B00AA" w:rsidRDefault="00711609" w:rsidP="00711609">
      <w:pPr>
        <w:shd w:val="clear" w:color="auto" w:fill="FFFFFF"/>
        <w:spacing w:after="0" w:line="240" w:lineRule="auto"/>
        <w:rPr>
          <w:rFonts w:eastAsia="Times New Roman" w:cs="Arial"/>
          <w:color w:val="333333"/>
          <w:lang w:eastAsia="en-IE"/>
        </w:rPr>
      </w:pPr>
      <w:r w:rsidRPr="006B00AA">
        <w:rPr>
          <w:rFonts w:eastAsia="Times New Roman" w:cs="Arial"/>
          <w:b/>
          <w:bCs/>
          <w:color w:val="333333"/>
          <w:lang w:eastAsia="en-IE"/>
        </w:rPr>
        <w:t>Locations</w:t>
      </w:r>
    </w:p>
    <w:p w14:paraId="19B31DC5" w14:textId="77777777" w:rsidR="00711609" w:rsidRPr="006B00AA" w:rsidRDefault="00711609" w:rsidP="00711609">
      <w:pPr>
        <w:shd w:val="clear" w:color="auto" w:fill="FFFFFF"/>
        <w:spacing w:after="240" w:line="240" w:lineRule="auto"/>
        <w:rPr>
          <w:rFonts w:eastAsia="Times New Roman" w:cs="Arial"/>
          <w:color w:val="333333"/>
          <w:lang w:eastAsia="en-IE"/>
        </w:rPr>
      </w:pPr>
      <w:r w:rsidRPr="006B00AA">
        <w:rPr>
          <w:rFonts w:eastAsia="Times New Roman" w:cs="Arial"/>
          <w:color w:val="333333"/>
          <w:lang w:eastAsia="en-IE"/>
        </w:rPr>
        <w:t>CDETB Adult Education Service is a city-wide service and is structured into five regional teams. </w:t>
      </w:r>
    </w:p>
    <w:tbl>
      <w:tblPr>
        <w:tblW w:w="0" w:type="auto"/>
        <w:tblCellMar>
          <w:left w:w="0" w:type="dxa"/>
          <w:right w:w="0" w:type="dxa"/>
        </w:tblCellMar>
        <w:tblLook w:val="04A0" w:firstRow="1" w:lastRow="0" w:firstColumn="1" w:lastColumn="0" w:noHBand="0" w:noVBand="1"/>
      </w:tblPr>
      <w:tblGrid>
        <w:gridCol w:w="1850"/>
        <w:gridCol w:w="1832"/>
        <w:gridCol w:w="1874"/>
        <w:gridCol w:w="2010"/>
        <w:gridCol w:w="1676"/>
      </w:tblGrid>
      <w:tr w:rsidR="00711609" w:rsidRPr="006B00AA" w14:paraId="2C1E05BF" w14:textId="77777777" w:rsidTr="006B00AA">
        <w:trPr>
          <w:trHeight w:val="397"/>
        </w:trPr>
        <w:tc>
          <w:tcPr>
            <w:tcW w:w="1850" w:type="dxa"/>
            <w:tcBorders>
              <w:top w:val="nil"/>
              <w:left w:val="nil"/>
              <w:right w:val="nil"/>
            </w:tcBorders>
            <w:shd w:val="clear" w:color="auto" w:fill="auto"/>
            <w:tcMar>
              <w:top w:w="0" w:type="dxa"/>
              <w:left w:w="108" w:type="dxa"/>
              <w:bottom w:w="0" w:type="dxa"/>
              <w:right w:w="108" w:type="dxa"/>
            </w:tcMar>
            <w:vAlign w:val="center"/>
            <w:hideMark/>
          </w:tcPr>
          <w:p w14:paraId="17C74B89" w14:textId="77777777" w:rsidR="00711609" w:rsidRPr="006B00AA" w:rsidRDefault="00825A88" w:rsidP="009E3641">
            <w:pPr>
              <w:spacing w:after="0" w:line="240" w:lineRule="auto"/>
              <w:rPr>
                <w:rFonts w:eastAsia="Times New Roman" w:cs="Arial"/>
                <w:color w:val="333333"/>
                <w:lang w:eastAsia="en-IE"/>
              </w:rPr>
            </w:pPr>
            <w:hyperlink r:id="rId10" w:history="1">
              <w:r w:rsidR="00711609" w:rsidRPr="006B00AA">
                <w:rPr>
                  <w:rFonts w:eastAsia="Times New Roman" w:cs="Arial"/>
                  <w:b/>
                  <w:bCs/>
                  <w:color w:val="1284C6"/>
                  <w:u w:val="single"/>
                  <w:lang w:eastAsia="en-IE"/>
                </w:rPr>
                <w:t>Region 1</w:t>
              </w:r>
            </w:hyperlink>
          </w:p>
        </w:tc>
        <w:tc>
          <w:tcPr>
            <w:tcW w:w="1832" w:type="dxa"/>
            <w:tcBorders>
              <w:top w:val="nil"/>
              <w:left w:val="nil"/>
              <w:right w:val="nil"/>
            </w:tcBorders>
            <w:shd w:val="clear" w:color="auto" w:fill="auto"/>
            <w:tcMar>
              <w:top w:w="0" w:type="dxa"/>
              <w:left w:w="108" w:type="dxa"/>
              <w:bottom w:w="0" w:type="dxa"/>
              <w:right w:w="108" w:type="dxa"/>
            </w:tcMar>
            <w:vAlign w:val="center"/>
            <w:hideMark/>
          </w:tcPr>
          <w:p w14:paraId="1B917B31" w14:textId="77777777" w:rsidR="00711609" w:rsidRPr="006B00AA" w:rsidRDefault="00825A88" w:rsidP="009E3641">
            <w:pPr>
              <w:spacing w:after="0" w:line="240" w:lineRule="auto"/>
              <w:rPr>
                <w:rFonts w:eastAsia="Times New Roman" w:cs="Arial"/>
                <w:color w:val="333333"/>
                <w:lang w:eastAsia="en-IE"/>
              </w:rPr>
            </w:pPr>
            <w:hyperlink r:id="rId11" w:history="1">
              <w:r w:rsidR="00711609" w:rsidRPr="006B00AA">
                <w:rPr>
                  <w:rFonts w:eastAsia="Times New Roman" w:cs="Arial"/>
                  <w:b/>
                  <w:bCs/>
                  <w:color w:val="1284C6"/>
                  <w:u w:val="single"/>
                  <w:lang w:eastAsia="en-IE"/>
                </w:rPr>
                <w:t>Region 2</w:t>
              </w:r>
            </w:hyperlink>
          </w:p>
        </w:tc>
        <w:tc>
          <w:tcPr>
            <w:tcW w:w="1874" w:type="dxa"/>
            <w:tcBorders>
              <w:top w:val="nil"/>
              <w:left w:val="nil"/>
              <w:right w:val="nil"/>
            </w:tcBorders>
            <w:shd w:val="clear" w:color="auto" w:fill="auto"/>
            <w:tcMar>
              <w:top w:w="0" w:type="dxa"/>
              <w:left w:w="108" w:type="dxa"/>
              <w:bottom w:w="0" w:type="dxa"/>
              <w:right w:w="108" w:type="dxa"/>
            </w:tcMar>
            <w:vAlign w:val="center"/>
            <w:hideMark/>
          </w:tcPr>
          <w:p w14:paraId="13B88120" w14:textId="77777777" w:rsidR="00711609" w:rsidRPr="006B00AA" w:rsidRDefault="00825A88" w:rsidP="009E3641">
            <w:pPr>
              <w:spacing w:after="0" w:line="240" w:lineRule="auto"/>
              <w:rPr>
                <w:rFonts w:eastAsia="Times New Roman" w:cs="Arial"/>
                <w:color w:val="333333"/>
                <w:lang w:eastAsia="en-IE"/>
              </w:rPr>
            </w:pPr>
            <w:hyperlink r:id="rId12" w:history="1">
              <w:r w:rsidR="00711609" w:rsidRPr="006B00AA">
                <w:rPr>
                  <w:rFonts w:eastAsia="Times New Roman" w:cs="Arial"/>
                  <w:b/>
                  <w:bCs/>
                  <w:color w:val="1284C6"/>
                  <w:u w:val="single"/>
                  <w:lang w:eastAsia="en-IE"/>
                </w:rPr>
                <w:t>Region 3</w:t>
              </w:r>
            </w:hyperlink>
          </w:p>
        </w:tc>
        <w:tc>
          <w:tcPr>
            <w:tcW w:w="2010" w:type="dxa"/>
            <w:tcBorders>
              <w:top w:val="nil"/>
              <w:left w:val="nil"/>
              <w:right w:val="nil"/>
            </w:tcBorders>
            <w:shd w:val="clear" w:color="auto" w:fill="auto"/>
            <w:tcMar>
              <w:top w:w="0" w:type="dxa"/>
              <w:left w:w="108" w:type="dxa"/>
              <w:bottom w:w="0" w:type="dxa"/>
              <w:right w:w="108" w:type="dxa"/>
            </w:tcMar>
            <w:vAlign w:val="center"/>
            <w:hideMark/>
          </w:tcPr>
          <w:p w14:paraId="2B445DC8" w14:textId="77777777" w:rsidR="00711609" w:rsidRPr="006B00AA" w:rsidRDefault="00825A88" w:rsidP="009E3641">
            <w:pPr>
              <w:spacing w:after="0" w:line="240" w:lineRule="auto"/>
              <w:rPr>
                <w:rFonts w:eastAsia="Times New Roman" w:cs="Arial"/>
                <w:color w:val="333333"/>
                <w:lang w:eastAsia="en-IE"/>
              </w:rPr>
            </w:pPr>
            <w:hyperlink r:id="rId13" w:history="1">
              <w:r w:rsidR="00711609" w:rsidRPr="006B00AA">
                <w:rPr>
                  <w:rFonts w:eastAsia="Times New Roman" w:cs="Arial"/>
                  <w:b/>
                  <w:bCs/>
                  <w:color w:val="1284C6"/>
                  <w:u w:val="single"/>
                  <w:lang w:eastAsia="en-IE"/>
                </w:rPr>
                <w:t>Region 4</w:t>
              </w:r>
            </w:hyperlink>
          </w:p>
        </w:tc>
        <w:tc>
          <w:tcPr>
            <w:tcW w:w="1676" w:type="dxa"/>
            <w:tcBorders>
              <w:top w:val="nil"/>
              <w:left w:val="nil"/>
              <w:right w:val="nil"/>
            </w:tcBorders>
            <w:shd w:val="clear" w:color="auto" w:fill="auto"/>
            <w:tcMar>
              <w:top w:w="0" w:type="dxa"/>
              <w:left w:w="108" w:type="dxa"/>
              <w:bottom w:w="0" w:type="dxa"/>
              <w:right w:w="108" w:type="dxa"/>
            </w:tcMar>
            <w:vAlign w:val="center"/>
            <w:hideMark/>
          </w:tcPr>
          <w:p w14:paraId="06A8BFA7" w14:textId="77777777" w:rsidR="00711609" w:rsidRPr="006B00AA" w:rsidRDefault="00825A88" w:rsidP="009E3641">
            <w:pPr>
              <w:spacing w:after="0" w:line="240" w:lineRule="auto"/>
              <w:rPr>
                <w:rFonts w:eastAsia="Times New Roman" w:cs="Arial"/>
                <w:color w:val="333333"/>
                <w:lang w:eastAsia="en-IE"/>
              </w:rPr>
            </w:pPr>
            <w:hyperlink r:id="rId14" w:history="1">
              <w:r w:rsidR="00711609" w:rsidRPr="006B00AA">
                <w:rPr>
                  <w:rFonts w:eastAsia="Times New Roman" w:cs="Arial"/>
                  <w:b/>
                  <w:bCs/>
                  <w:color w:val="1284C6"/>
                  <w:u w:val="single"/>
                  <w:lang w:eastAsia="en-IE"/>
                </w:rPr>
                <w:t>Region 5</w:t>
              </w:r>
            </w:hyperlink>
          </w:p>
        </w:tc>
      </w:tr>
      <w:tr w:rsidR="00711609" w:rsidRPr="006B00AA" w14:paraId="5995655C" w14:textId="77777777" w:rsidTr="006B00AA">
        <w:trPr>
          <w:trHeight w:val="397"/>
        </w:trPr>
        <w:tc>
          <w:tcPr>
            <w:tcW w:w="1850" w:type="dxa"/>
            <w:shd w:val="clear" w:color="auto" w:fill="auto"/>
            <w:tcMar>
              <w:top w:w="0" w:type="dxa"/>
              <w:left w:w="108" w:type="dxa"/>
              <w:bottom w:w="0" w:type="dxa"/>
              <w:right w:w="108" w:type="dxa"/>
            </w:tcMar>
            <w:vAlign w:val="center"/>
            <w:hideMark/>
          </w:tcPr>
          <w:p w14:paraId="45852AE8" w14:textId="77777777" w:rsidR="00711609" w:rsidRPr="006B00AA" w:rsidRDefault="00711609" w:rsidP="009E3641">
            <w:pPr>
              <w:spacing w:after="0" w:line="240" w:lineRule="auto"/>
              <w:rPr>
                <w:rFonts w:eastAsia="Times New Roman" w:cs="Arial"/>
                <w:color w:val="333333"/>
                <w:lang w:eastAsia="en-IE"/>
              </w:rPr>
            </w:pPr>
            <w:r w:rsidRPr="006B00AA">
              <w:rPr>
                <w:rFonts w:eastAsia="Times New Roman" w:cs="Arial"/>
                <w:color w:val="333333"/>
                <w:lang w:eastAsia="en-IE"/>
              </w:rPr>
              <w:t xml:space="preserve">Dublin 5, </w:t>
            </w:r>
            <w:r w:rsidR="003045E9" w:rsidRPr="003045E9">
              <w:rPr>
                <w:rFonts w:eastAsia="Times New Roman" w:cs="Arial"/>
                <w:color w:val="333333"/>
                <w:lang w:eastAsia="en-IE"/>
              </w:rPr>
              <w:t>9,</w:t>
            </w:r>
            <w:r w:rsidR="003045E9">
              <w:rPr>
                <w:rFonts w:eastAsia="Times New Roman" w:cs="Arial"/>
                <w:color w:val="333333"/>
                <w:lang w:eastAsia="en-IE"/>
              </w:rPr>
              <w:t xml:space="preserve"> </w:t>
            </w:r>
            <w:r w:rsidRPr="006B00AA">
              <w:rPr>
                <w:rFonts w:eastAsia="Times New Roman" w:cs="Arial"/>
                <w:color w:val="333333"/>
                <w:lang w:eastAsia="en-IE"/>
              </w:rPr>
              <w:t>13, 17</w:t>
            </w:r>
          </w:p>
        </w:tc>
        <w:tc>
          <w:tcPr>
            <w:tcW w:w="1832" w:type="dxa"/>
            <w:shd w:val="clear" w:color="auto" w:fill="auto"/>
            <w:tcMar>
              <w:top w:w="0" w:type="dxa"/>
              <w:left w:w="108" w:type="dxa"/>
              <w:bottom w:w="0" w:type="dxa"/>
              <w:right w:w="108" w:type="dxa"/>
            </w:tcMar>
            <w:vAlign w:val="center"/>
            <w:hideMark/>
          </w:tcPr>
          <w:p w14:paraId="5BF52EB0" w14:textId="77777777" w:rsidR="00711609" w:rsidRPr="006B00AA" w:rsidRDefault="00711609" w:rsidP="009E3641">
            <w:pPr>
              <w:spacing w:after="0" w:line="240" w:lineRule="auto"/>
              <w:rPr>
                <w:rFonts w:eastAsia="Times New Roman" w:cs="Arial"/>
                <w:color w:val="333333"/>
                <w:lang w:eastAsia="en-IE"/>
              </w:rPr>
            </w:pPr>
            <w:r w:rsidRPr="006B00AA">
              <w:rPr>
                <w:rFonts w:eastAsia="Times New Roman" w:cs="Arial"/>
                <w:color w:val="333333"/>
                <w:lang w:eastAsia="en-IE"/>
              </w:rPr>
              <w:t>Dublin 7, 11</w:t>
            </w:r>
          </w:p>
        </w:tc>
        <w:tc>
          <w:tcPr>
            <w:tcW w:w="1874" w:type="dxa"/>
            <w:shd w:val="clear" w:color="auto" w:fill="auto"/>
            <w:tcMar>
              <w:top w:w="0" w:type="dxa"/>
              <w:left w:w="108" w:type="dxa"/>
              <w:bottom w:w="0" w:type="dxa"/>
              <w:right w:w="108" w:type="dxa"/>
            </w:tcMar>
            <w:vAlign w:val="center"/>
            <w:hideMark/>
          </w:tcPr>
          <w:p w14:paraId="49BE143D" w14:textId="77777777" w:rsidR="00711609" w:rsidRPr="006B00AA" w:rsidRDefault="00711609" w:rsidP="009E3641">
            <w:pPr>
              <w:spacing w:after="0" w:line="240" w:lineRule="auto"/>
              <w:rPr>
                <w:rFonts w:eastAsia="Times New Roman" w:cs="Arial"/>
                <w:color w:val="333333"/>
                <w:lang w:eastAsia="en-IE"/>
              </w:rPr>
            </w:pPr>
            <w:r w:rsidRPr="006B00AA">
              <w:rPr>
                <w:rFonts w:eastAsia="Times New Roman" w:cs="Arial"/>
                <w:color w:val="333333"/>
                <w:lang w:eastAsia="en-IE"/>
              </w:rPr>
              <w:t>Dublin 1, 3, 7, 9</w:t>
            </w:r>
          </w:p>
        </w:tc>
        <w:tc>
          <w:tcPr>
            <w:tcW w:w="2010" w:type="dxa"/>
            <w:shd w:val="clear" w:color="auto" w:fill="auto"/>
            <w:tcMar>
              <w:top w:w="0" w:type="dxa"/>
              <w:left w:w="108" w:type="dxa"/>
              <w:bottom w:w="0" w:type="dxa"/>
              <w:right w:w="108" w:type="dxa"/>
            </w:tcMar>
            <w:vAlign w:val="center"/>
            <w:hideMark/>
          </w:tcPr>
          <w:p w14:paraId="1A5EA686" w14:textId="77777777" w:rsidR="00711609" w:rsidRPr="006B00AA" w:rsidRDefault="00711609" w:rsidP="009E3641">
            <w:pPr>
              <w:spacing w:after="0" w:line="240" w:lineRule="auto"/>
              <w:rPr>
                <w:rFonts w:eastAsia="Times New Roman" w:cs="Arial"/>
                <w:color w:val="333333"/>
                <w:lang w:eastAsia="en-IE"/>
              </w:rPr>
            </w:pPr>
            <w:r w:rsidRPr="006B00AA">
              <w:rPr>
                <w:rFonts w:eastAsia="Times New Roman" w:cs="Arial"/>
                <w:color w:val="333333"/>
                <w:lang w:eastAsia="en-IE"/>
              </w:rPr>
              <w:t>Dublin 8, 10, 12, 6W</w:t>
            </w:r>
          </w:p>
        </w:tc>
        <w:tc>
          <w:tcPr>
            <w:tcW w:w="1676" w:type="dxa"/>
            <w:shd w:val="clear" w:color="auto" w:fill="auto"/>
            <w:tcMar>
              <w:top w:w="0" w:type="dxa"/>
              <w:left w:w="108" w:type="dxa"/>
              <w:bottom w:w="0" w:type="dxa"/>
              <w:right w:w="108" w:type="dxa"/>
            </w:tcMar>
            <w:vAlign w:val="center"/>
            <w:hideMark/>
          </w:tcPr>
          <w:p w14:paraId="55F3B036" w14:textId="77777777" w:rsidR="00711609" w:rsidRPr="006B00AA" w:rsidRDefault="00711609" w:rsidP="009E3641">
            <w:pPr>
              <w:spacing w:after="0" w:line="240" w:lineRule="auto"/>
              <w:rPr>
                <w:rFonts w:eastAsia="Times New Roman" w:cs="Arial"/>
                <w:color w:val="333333"/>
                <w:lang w:eastAsia="en-IE"/>
              </w:rPr>
            </w:pPr>
            <w:r w:rsidRPr="006B00AA">
              <w:rPr>
                <w:rFonts w:eastAsia="Times New Roman" w:cs="Arial"/>
                <w:color w:val="333333"/>
                <w:lang w:eastAsia="en-IE"/>
              </w:rPr>
              <w:t>Dublin 2, 4, 6, 8</w:t>
            </w:r>
          </w:p>
        </w:tc>
      </w:tr>
    </w:tbl>
    <w:p w14:paraId="5DAB6C7B" w14:textId="77777777" w:rsidR="00711609" w:rsidRPr="009E3641" w:rsidRDefault="00711609" w:rsidP="006B00AA"/>
    <w:sectPr w:rsidR="00711609" w:rsidRPr="009E3641" w:rsidSect="0050430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CA3326" w:rsidRDefault="00CA3326" w:rsidP="00711609">
      <w:pPr>
        <w:spacing w:after="0" w:line="240" w:lineRule="auto"/>
      </w:pPr>
      <w:r>
        <w:separator/>
      </w:r>
    </w:p>
  </w:endnote>
  <w:endnote w:type="continuationSeparator" w:id="0">
    <w:p w14:paraId="5A39BBE3" w14:textId="77777777" w:rsidR="00CA3326" w:rsidRDefault="00CA3326" w:rsidP="0071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53B7" w14:textId="77777777" w:rsidR="00825A88" w:rsidRDefault="0082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860A" w14:textId="67FC33E1" w:rsidR="006B00AA" w:rsidRPr="006B00AA" w:rsidRDefault="006B00AA">
    <w:pPr>
      <w:pStyle w:val="Footer"/>
      <w:rPr>
        <w:color w:val="002060"/>
      </w:rPr>
    </w:pPr>
    <w:r w:rsidRPr="006B00AA">
      <w:rPr>
        <w:color w:val="002060"/>
      </w:rPr>
      <w:t xml:space="preserve">HO </w:t>
    </w:r>
    <w:r w:rsidRPr="006B00AA">
      <w:rPr>
        <w:color w:val="002060"/>
      </w:rPr>
      <w:t>1.</w:t>
    </w:r>
    <w:r w:rsidR="00825A88">
      <w:rPr>
        <w:color w:val="002060"/>
      </w:rPr>
      <w:t>2</w:t>
    </w:r>
    <w:bookmarkStart w:id="0" w:name="_GoBack"/>
    <w:bookmarkEnd w:id="0"/>
    <w:r w:rsidR="00E02C78">
      <w:rPr>
        <w:color w:val="002060"/>
      </w:rPr>
      <w:t xml:space="preserve"> Introduction to the CDETB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4746" w14:textId="77777777" w:rsidR="00825A88" w:rsidRDefault="0082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CA3326" w:rsidRDefault="00CA3326" w:rsidP="00711609">
      <w:pPr>
        <w:spacing w:after="0" w:line="240" w:lineRule="auto"/>
      </w:pPr>
      <w:r>
        <w:separator/>
      </w:r>
    </w:p>
  </w:footnote>
  <w:footnote w:type="continuationSeparator" w:id="0">
    <w:p w14:paraId="72A3D3EC" w14:textId="77777777" w:rsidR="00CA3326" w:rsidRDefault="00CA3326" w:rsidP="0071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3011" w14:textId="77777777" w:rsidR="00825A88" w:rsidRDefault="00825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6A17" w14:textId="69142C7E" w:rsidR="00711609" w:rsidRPr="001C3040" w:rsidRDefault="00711609" w:rsidP="00711609">
    <w:pPr>
      <w:ind w:left="-567"/>
      <w:jc w:val="both"/>
      <w:outlineLvl w:val="0"/>
      <w:rPr>
        <w:b/>
        <w:bCs/>
        <w:color w:val="002060"/>
        <w:sz w:val="40"/>
        <w:szCs w:val="40"/>
        <w:lang w:val="en-US"/>
      </w:rPr>
    </w:pPr>
    <w:r>
      <w:rPr>
        <w:b/>
        <w:bCs/>
        <w:noProof/>
        <w:color w:val="002060"/>
        <w:sz w:val="40"/>
        <w:szCs w:val="40"/>
        <w:lang w:eastAsia="en-IE"/>
      </w:rPr>
      <w:drawing>
        <wp:anchor distT="0" distB="0" distL="114300" distR="114300" simplePos="0" relativeHeight="251659264" behindDoc="0" locked="0" layoutInCell="1" allowOverlap="1" wp14:anchorId="776189E7" wp14:editId="07777777">
          <wp:simplePos x="0" y="0"/>
          <wp:positionH relativeFrom="column">
            <wp:posOffset>5278415</wp:posOffset>
          </wp:positionH>
          <wp:positionV relativeFrom="paragraph">
            <wp:posOffset>-44574</wp:posOffset>
          </wp:positionV>
          <wp:extent cx="1164708" cy="567070"/>
          <wp:effectExtent l="19050" t="0" r="0" b="0"/>
          <wp:wrapNone/>
          <wp:docPr id="1" name="Picture 1" descr="CD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TB logo"/>
                  <pic:cNvPicPr>
                    <a:picLocks noChangeAspect="1" noChangeArrowheads="1"/>
                  </pic:cNvPicPr>
                </pic:nvPicPr>
                <pic:blipFill>
                  <a:blip r:embed="rId1"/>
                  <a:srcRect/>
                  <a:stretch>
                    <a:fillRect/>
                  </a:stretch>
                </pic:blipFill>
                <pic:spPr bwMode="auto">
                  <a:xfrm>
                    <a:off x="0" y="0"/>
                    <a:ext cx="1164708" cy="567070"/>
                  </a:xfrm>
                  <a:prstGeom prst="rect">
                    <a:avLst/>
                  </a:prstGeom>
                  <a:noFill/>
                </pic:spPr>
              </pic:pic>
            </a:graphicData>
          </a:graphic>
        </wp:anchor>
      </w:drawing>
    </w:r>
    <w:r>
      <w:rPr>
        <w:b/>
        <w:bCs/>
        <w:noProof/>
        <w:color w:val="002060"/>
        <w:sz w:val="40"/>
        <w:szCs w:val="40"/>
        <w:lang w:eastAsia="en-IE"/>
      </w:rPr>
      <w:drawing>
        <wp:anchor distT="0" distB="0" distL="114300" distR="114300" simplePos="0" relativeHeight="251660288" behindDoc="1" locked="0" layoutInCell="1" allowOverlap="1" wp14:anchorId="5AEF05F4" wp14:editId="07777777">
          <wp:simplePos x="0" y="0"/>
          <wp:positionH relativeFrom="column">
            <wp:posOffset>-541138</wp:posOffset>
          </wp:positionH>
          <wp:positionV relativeFrom="paragraph">
            <wp:posOffset>-365155</wp:posOffset>
          </wp:positionV>
          <wp:extent cx="6516429" cy="88604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6516429" cy="886046"/>
                  </a:xfrm>
                  <a:prstGeom prst="rect">
                    <a:avLst/>
                  </a:prstGeom>
                  <a:noFill/>
                </pic:spPr>
              </pic:pic>
            </a:graphicData>
          </a:graphic>
        </wp:anchor>
      </w:drawing>
    </w:r>
    <w:r w:rsidRPr="001C3040">
      <w:rPr>
        <w:b/>
        <w:bCs/>
        <w:color w:val="002060"/>
        <w:sz w:val="40"/>
        <w:szCs w:val="40"/>
        <w:lang w:val="en-US"/>
      </w:rPr>
      <w:t xml:space="preserve">Adult Literacy </w:t>
    </w:r>
    <w:r w:rsidR="00825A88">
      <w:rPr>
        <w:b/>
        <w:bCs/>
        <w:color w:val="002060"/>
        <w:sz w:val="40"/>
        <w:szCs w:val="40"/>
        <w:lang w:val="en-US"/>
      </w:rPr>
      <w:t>Awareness</w:t>
    </w:r>
    <w:r w:rsidRPr="001C3040">
      <w:rPr>
        <w:b/>
        <w:bCs/>
        <w:color w:val="002060"/>
        <w:sz w:val="40"/>
        <w:szCs w:val="40"/>
        <w:lang w:val="en-US"/>
      </w:rPr>
      <w:t xml:space="preserve"> Course</w:t>
    </w:r>
  </w:p>
  <w:p w14:paraId="02EB378F" w14:textId="77777777" w:rsidR="00711609" w:rsidRDefault="00711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CD4B" w14:textId="77777777" w:rsidR="00825A88" w:rsidRDefault="00825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63B"/>
    <w:multiLevelType w:val="multilevel"/>
    <w:tmpl w:val="7AF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4D01F2"/>
    <w:multiLevelType w:val="multilevel"/>
    <w:tmpl w:val="890C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02347"/>
    <w:multiLevelType w:val="hybridMultilevel"/>
    <w:tmpl w:val="3BB4EF7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1609"/>
    <w:rsid w:val="000A0699"/>
    <w:rsid w:val="002443EB"/>
    <w:rsid w:val="002C65F6"/>
    <w:rsid w:val="003037EA"/>
    <w:rsid w:val="003045E9"/>
    <w:rsid w:val="00316B10"/>
    <w:rsid w:val="00341B76"/>
    <w:rsid w:val="00342C28"/>
    <w:rsid w:val="003B705D"/>
    <w:rsid w:val="004B2BD6"/>
    <w:rsid w:val="004F3121"/>
    <w:rsid w:val="00504306"/>
    <w:rsid w:val="00592112"/>
    <w:rsid w:val="005E6395"/>
    <w:rsid w:val="006B00AA"/>
    <w:rsid w:val="00711609"/>
    <w:rsid w:val="00767869"/>
    <w:rsid w:val="007C1E84"/>
    <w:rsid w:val="007D39BD"/>
    <w:rsid w:val="00825A88"/>
    <w:rsid w:val="00997BEE"/>
    <w:rsid w:val="009E3641"/>
    <w:rsid w:val="00A54E20"/>
    <w:rsid w:val="00BD34DE"/>
    <w:rsid w:val="00CA3326"/>
    <w:rsid w:val="00CC1903"/>
    <w:rsid w:val="00D1267B"/>
    <w:rsid w:val="00E02C78"/>
    <w:rsid w:val="00E6607A"/>
    <w:rsid w:val="76B1E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0774"/>
  <w15:docId w15:val="{2A359A83-ADAC-473D-A331-A82D59A0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09"/>
  </w:style>
  <w:style w:type="paragraph" w:styleId="Footer">
    <w:name w:val="footer"/>
    <w:basedOn w:val="Normal"/>
    <w:link w:val="FooterChar"/>
    <w:uiPriority w:val="99"/>
    <w:unhideWhenUsed/>
    <w:rsid w:val="00711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609"/>
  </w:style>
  <w:style w:type="paragraph" w:customStyle="1" w:styleId="contentheader">
    <w:name w:val="content_header"/>
    <w:basedOn w:val="Normal"/>
    <w:rsid w:val="00997BE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99"/>
    <w:qFormat/>
    <w:rsid w:val="00341B76"/>
    <w:pPr>
      <w:ind w:left="720"/>
    </w:pPr>
    <w:rPr>
      <w:rFonts w:ascii="Calibri" w:eastAsia="Calibri" w:hAnsi="Calibri" w:cs="Calibri"/>
    </w:rPr>
  </w:style>
  <w:style w:type="character" w:styleId="CommentReference">
    <w:name w:val="annotation reference"/>
    <w:basedOn w:val="DefaultParagraphFont"/>
    <w:uiPriority w:val="99"/>
    <w:semiHidden/>
    <w:unhideWhenUsed/>
    <w:rsid w:val="00E6607A"/>
    <w:rPr>
      <w:sz w:val="16"/>
      <w:szCs w:val="16"/>
    </w:rPr>
  </w:style>
  <w:style w:type="paragraph" w:styleId="CommentText">
    <w:name w:val="annotation text"/>
    <w:basedOn w:val="Normal"/>
    <w:link w:val="CommentTextChar"/>
    <w:uiPriority w:val="99"/>
    <w:semiHidden/>
    <w:unhideWhenUsed/>
    <w:rsid w:val="00E6607A"/>
    <w:pPr>
      <w:spacing w:line="240" w:lineRule="auto"/>
    </w:pPr>
    <w:rPr>
      <w:sz w:val="20"/>
      <w:szCs w:val="20"/>
    </w:rPr>
  </w:style>
  <w:style w:type="character" w:customStyle="1" w:styleId="CommentTextChar">
    <w:name w:val="Comment Text Char"/>
    <w:basedOn w:val="DefaultParagraphFont"/>
    <w:link w:val="CommentText"/>
    <w:uiPriority w:val="99"/>
    <w:semiHidden/>
    <w:rsid w:val="00E6607A"/>
    <w:rPr>
      <w:sz w:val="20"/>
      <w:szCs w:val="20"/>
    </w:rPr>
  </w:style>
  <w:style w:type="paragraph" w:styleId="CommentSubject">
    <w:name w:val="annotation subject"/>
    <w:basedOn w:val="CommentText"/>
    <w:next w:val="CommentText"/>
    <w:link w:val="CommentSubjectChar"/>
    <w:uiPriority w:val="99"/>
    <w:semiHidden/>
    <w:unhideWhenUsed/>
    <w:rsid w:val="00E6607A"/>
    <w:rPr>
      <w:b/>
      <w:bCs/>
    </w:rPr>
  </w:style>
  <w:style w:type="character" w:customStyle="1" w:styleId="CommentSubjectChar">
    <w:name w:val="Comment Subject Char"/>
    <w:basedOn w:val="CommentTextChar"/>
    <w:link w:val="CommentSubject"/>
    <w:uiPriority w:val="99"/>
    <w:semiHidden/>
    <w:rsid w:val="00E6607A"/>
    <w:rPr>
      <w:b/>
      <w:bCs/>
      <w:sz w:val="20"/>
      <w:szCs w:val="20"/>
    </w:rPr>
  </w:style>
  <w:style w:type="paragraph" w:styleId="BalloonText">
    <w:name w:val="Balloon Text"/>
    <w:basedOn w:val="Normal"/>
    <w:link w:val="BalloonTextChar"/>
    <w:uiPriority w:val="99"/>
    <w:semiHidden/>
    <w:unhideWhenUsed/>
    <w:rsid w:val="00E6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06101">
      <w:bodyDiv w:val="1"/>
      <w:marLeft w:val="0"/>
      <w:marRight w:val="0"/>
      <w:marTop w:val="0"/>
      <w:marBottom w:val="0"/>
      <w:divBdr>
        <w:top w:val="none" w:sz="0" w:space="0" w:color="auto"/>
        <w:left w:val="none" w:sz="0" w:space="0" w:color="auto"/>
        <w:bottom w:val="none" w:sz="0" w:space="0" w:color="auto"/>
        <w:right w:val="none" w:sz="0" w:space="0" w:color="auto"/>
      </w:divBdr>
      <w:divsChild>
        <w:div w:id="1519461611">
          <w:marLeft w:val="0"/>
          <w:marRight w:val="0"/>
          <w:marTop w:val="100"/>
          <w:marBottom w:val="100"/>
          <w:divBdr>
            <w:top w:val="none" w:sz="0" w:space="0" w:color="auto"/>
            <w:left w:val="none" w:sz="0" w:space="0" w:color="auto"/>
            <w:bottom w:val="none" w:sz="0" w:space="0" w:color="auto"/>
            <w:right w:val="none" w:sz="0" w:space="0" w:color="auto"/>
          </w:divBdr>
          <w:divsChild>
            <w:div w:id="499855095">
              <w:marLeft w:val="0"/>
              <w:marRight w:val="0"/>
              <w:marTop w:val="167"/>
              <w:marBottom w:val="0"/>
              <w:divBdr>
                <w:top w:val="none" w:sz="0" w:space="0" w:color="auto"/>
                <w:left w:val="none" w:sz="0" w:space="0" w:color="auto"/>
                <w:bottom w:val="none" w:sz="0" w:space="0" w:color="auto"/>
                <w:right w:val="none" w:sz="0" w:space="0" w:color="auto"/>
              </w:divBdr>
              <w:divsChild>
                <w:div w:id="1987273522">
                  <w:marLeft w:val="0"/>
                  <w:marRight w:val="0"/>
                  <w:marTop w:val="0"/>
                  <w:marBottom w:val="0"/>
                  <w:divBdr>
                    <w:top w:val="none" w:sz="0" w:space="0" w:color="auto"/>
                    <w:left w:val="none" w:sz="0" w:space="0" w:color="auto"/>
                    <w:bottom w:val="none" w:sz="0" w:space="0" w:color="auto"/>
                    <w:right w:val="none" w:sz="0" w:space="0" w:color="auto"/>
                  </w:divBdr>
                  <w:divsChild>
                    <w:div w:id="1598444800">
                      <w:marLeft w:val="0"/>
                      <w:marRight w:val="0"/>
                      <w:marTop w:val="0"/>
                      <w:marBottom w:val="0"/>
                      <w:divBdr>
                        <w:top w:val="none" w:sz="0" w:space="0" w:color="auto"/>
                        <w:left w:val="none" w:sz="0" w:space="0" w:color="auto"/>
                        <w:bottom w:val="none" w:sz="0" w:space="0" w:color="auto"/>
                        <w:right w:val="none" w:sz="0" w:space="0" w:color="auto"/>
                      </w:divBdr>
                      <w:divsChild>
                        <w:div w:id="1472598248">
                          <w:marLeft w:val="0"/>
                          <w:marRight w:val="0"/>
                          <w:marTop w:val="0"/>
                          <w:marBottom w:val="0"/>
                          <w:divBdr>
                            <w:top w:val="none" w:sz="0" w:space="0" w:color="auto"/>
                            <w:left w:val="none" w:sz="0" w:space="0" w:color="auto"/>
                            <w:bottom w:val="none" w:sz="0" w:space="0" w:color="auto"/>
                            <w:right w:val="none" w:sz="0" w:space="0" w:color="auto"/>
                          </w:divBdr>
                        </w:div>
                        <w:div w:id="543640857">
                          <w:marLeft w:val="0"/>
                          <w:marRight w:val="0"/>
                          <w:marTop w:val="0"/>
                          <w:marBottom w:val="0"/>
                          <w:divBdr>
                            <w:top w:val="none" w:sz="0" w:space="0" w:color="auto"/>
                            <w:left w:val="none" w:sz="0" w:space="0" w:color="auto"/>
                            <w:bottom w:val="none" w:sz="0" w:space="0" w:color="auto"/>
                            <w:right w:val="none" w:sz="0" w:space="0" w:color="auto"/>
                          </w:divBdr>
                        </w:div>
                        <w:div w:id="1673952735">
                          <w:marLeft w:val="0"/>
                          <w:marRight w:val="0"/>
                          <w:marTop w:val="0"/>
                          <w:marBottom w:val="0"/>
                          <w:divBdr>
                            <w:top w:val="none" w:sz="0" w:space="0" w:color="auto"/>
                            <w:left w:val="none" w:sz="0" w:space="0" w:color="auto"/>
                            <w:bottom w:val="none" w:sz="0" w:space="0" w:color="auto"/>
                            <w:right w:val="none" w:sz="0" w:space="0" w:color="auto"/>
                          </w:divBdr>
                        </w:div>
                        <w:div w:id="2103523091">
                          <w:marLeft w:val="0"/>
                          <w:marRight w:val="0"/>
                          <w:marTop w:val="0"/>
                          <w:marBottom w:val="0"/>
                          <w:divBdr>
                            <w:top w:val="none" w:sz="0" w:space="0" w:color="auto"/>
                            <w:left w:val="none" w:sz="0" w:space="0" w:color="auto"/>
                            <w:bottom w:val="none" w:sz="0" w:space="0" w:color="auto"/>
                            <w:right w:val="none" w:sz="0" w:space="0" w:color="auto"/>
                          </w:divBdr>
                        </w:div>
                        <w:div w:id="1916550180">
                          <w:marLeft w:val="0"/>
                          <w:marRight w:val="0"/>
                          <w:marTop w:val="0"/>
                          <w:marBottom w:val="0"/>
                          <w:divBdr>
                            <w:top w:val="none" w:sz="0" w:space="0" w:color="auto"/>
                            <w:left w:val="none" w:sz="0" w:space="0" w:color="auto"/>
                            <w:bottom w:val="none" w:sz="0" w:space="0" w:color="auto"/>
                            <w:right w:val="none" w:sz="0" w:space="0" w:color="auto"/>
                          </w:divBdr>
                        </w:div>
                        <w:div w:id="1083604772">
                          <w:marLeft w:val="0"/>
                          <w:marRight w:val="0"/>
                          <w:marTop w:val="0"/>
                          <w:marBottom w:val="0"/>
                          <w:divBdr>
                            <w:top w:val="none" w:sz="0" w:space="0" w:color="auto"/>
                            <w:left w:val="none" w:sz="0" w:space="0" w:color="auto"/>
                            <w:bottom w:val="none" w:sz="0" w:space="0" w:color="auto"/>
                            <w:right w:val="none" w:sz="0" w:space="0" w:color="auto"/>
                          </w:divBdr>
                        </w:div>
                        <w:div w:id="626356185">
                          <w:marLeft w:val="0"/>
                          <w:marRight w:val="0"/>
                          <w:marTop w:val="0"/>
                          <w:marBottom w:val="0"/>
                          <w:divBdr>
                            <w:top w:val="none" w:sz="0" w:space="0" w:color="auto"/>
                            <w:left w:val="none" w:sz="0" w:space="0" w:color="auto"/>
                            <w:bottom w:val="none" w:sz="0" w:space="0" w:color="auto"/>
                            <w:right w:val="none" w:sz="0" w:space="0" w:color="auto"/>
                          </w:divBdr>
                        </w:div>
                        <w:div w:id="2024433352">
                          <w:marLeft w:val="0"/>
                          <w:marRight w:val="0"/>
                          <w:marTop w:val="0"/>
                          <w:marBottom w:val="0"/>
                          <w:divBdr>
                            <w:top w:val="none" w:sz="0" w:space="0" w:color="auto"/>
                            <w:left w:val="none" w:sz="0" w:space="0" w:color="auto"/>
                            <w:bottom w:val="none" w:sz="0" w:space="0" w:color="auto"/>
                            <w:right w:val="none" w:sz="0" w:space="0" w:color="auto"/>
                          </w:divBdr>
                        </w:div>
                        <w:div w:id="1635671791">
                          <w:marLeft w:val="0"/>
                          <w:marRight w:val="0"/>
                          <w:marTop w:val="0"/>
                          <w:marBottom w:val="0"/>
                          <w:divBdr>
                            <w:top w:val="none" w:sz="0" w:space="0" w:color="auto"/>
                            <w:left w:val="none" w:sz="0" w:space="0" w:color="auto"/>
                            <w:bottom w:val="none" w:sz="0" w:space="0" w:color="auto"/>
                            <w:right w:val="none" w:sz="0" w:space="0" w:color="auto"/>
                          </w:divBdr>
                        </w:div>
                        <w:div w:id="359665208">
                          <w:marLeft w:val="0"/>
                          <w:marRight w:val="0"/>
                          <w:marTop w:val="0"/>
                          <w:marBottom w:val="0"/>
                          <w:divBdr>
                            <w:top w:val="none" w:sz="0" w:space="0" w:color="auto"/>
                            <w:left w:val="none" w:sz="0" w:space="0" w:color="auto"/>
                            <w:bottom w:val="none" w:sz="0" w:space="0" w:color="auto"/>
                            <w:right w:val="none" w:sz="0" w:space="0" w:color="auto"/>
                          </w:divBdr>
                        </w:div>
                        <w:div w:id="866530887">
                          <w:marLeft w:val="0"/>
                          <w:marRight w:val="0"/>
                          <w:marTop w:val="0"/>
                          <w:marBottom w:val="0"/>
                          <w:divBdr>
                            <w:top w:val="none" w:sz="0" w:space="0" w:color="auto"/>
                            <w:left w:val="none" w:sz="0" w:space="0" w:color="auto"/>
                            <w:bottom w:val="none" w:sz="0" w:space="0" w:color="auto"/>
                            <w:right w:val="none" w:sz="0" w:space="0" w:color="auto"/>
                          </w:divBdr>
                        </w:div>
                        <w:div w:id="353650655">
                          <w:marLeft w:val="0"/>
                          <w:marRight w:val="0"/>
                          <w:marTop w:val="0"/>
                          <w:marBottom w:val="0"/>
                          <w:divBdr>
                            <w:top w:val="none" w:sz="0" w:space="0" w:color="auto"/>
                            <w:left w:val="none" w:sz="0" w:space="0" w:color="auto"/>
                            <w:bottom w:val="none" w:sz="0" w:space="0" w:color="auto"/>
                            <w:right w:val="none" w:sz="0" w:space="0" w:color="auto"/>
                          </w:divBdr>
                          <w:divsChild>
                            <w:div w:id="1220363322">
                              <w:marLeft w:val="0"/>
                              <w:marRight w:val="0"/>
                              <w:marTop w:val="0"/>
                              <w:marBottom w:val="0"/>
                              <w:divBdr>
                                <w:top w:val="none" w:sz="0" w:space="0" w:color="auto"/>
                                <w:left w:val="none" w:sz="0" w:space="0" w:color="auto"/>
                                <w:bottom w:val="none" w:sz="0" w:space="0" w:color="auto"/>
                                <w:right w:val="none" w:sz="0" w:space="0" w:color="auto"/>
                              </w:divBdr>
                            </w:div>
                            <w:div w:id="2128817678">
                              <w:marLeft w:val="0"/>
                              <w:marRight w:val="0"/>
                              <w:marTop w:val="0"/>
                              <w:marBottom w:val="0"/>
                              <w:divBdr>
                                <w:top w:val="none" w:sz="0" w:space="0" w:color="auto"/>
                                <w:left w:val="none" w:sz="0" w:space="0" w:color="auto"/>
                                <w:bottom w:val="none" w:sz="0" w:space="0" w:color="auto"/>
                                <w:right w:val="none" w:sz="0" w:space="0" w:color="auto"/>
                              </w:divBdr>
                            </w:div>
                            <w:div w:id="1950355910">
                              <w:marLeft w:val="0"/>
                              <w:marRight w:val="0"/>
                              <w:marTop w:val="0"/>
                              <w:marBottom w:val="0"/>
                              <w:divBdr>
                                <w:top w:val="none" w:sz="0" w:space="0" w:color="auto"/>
                                <w:left w:val="none" w:sz="0" w:space="0" w:color="auto"/>
                                <w:bottom w:val="none" w:sz="0" w:space="0" w:color="auto"/>
                                <w:right w:val="none" w:sz="0" w:space="0" w:color="auto"/>
                              </w:divBdr>
                            </w:div>
                            <w:div w:id="1518036530">
                              <w:marLeft w:val="0"/>
                              <w:marRight w:val="0"/>
                              <w:marTop w:val="0"/>
                              <w:marBottom w:val="0"/>
                              <w:divBdr>
                                <w:top w:val="none" w:sz="0" w:space="0" w:color="auto"/>
                                <w:left w:val="none" w:sz="0" w:space="0" w:color="auto"/>
                                <w:bottom w:val="none" w:sz="0" w:space="0" w:color="auto"/>
                                <w:right w:val="none" w:sz="0" w:space="0" w:color="auto"/>
                              </w:divBdr>
                            </w:div>
                            <w:div w:id="979580191">
                              <w:marLeft w:val="0"/>
                              <w:marRight w:val="0"/>
                              <w:marTop w:val="0"/>
                              <w:marBottom w:val="0"/>
                              <w:divBdr>
                                <w:top w:val="none" w:sz="0" w:space="0" w:color="auto"/>
                                <w:left w:val="none" w:sz="0" w:space="0" w:color="auto"/>
                                <w:bottom w:val="none" w:sz="0" w:space="0" w:color="auto"/>
                                <w:right w:val="none" w:sz="0" w:space="0" w:color="auto"/>
                              </w:divBdr>
                            </w:div>
                            <w:div w:id="1798523478">
                              <w:marLeft w:val="0"/>
                              <w:marRight w:val="0"/>
                              <w:marTop w:val="0"/>
                              <w:marBottom w:val="0"/>
                              <w:divBdr>
                                <w:top w:val="none" w:sz="0" w:space="0" w:color="auto"/>
                                <w:left w:val="none" w:sz="0" w:space="0" w:color="auto"/>
                                <w:bottom w:val="none" w:sz="0" w:space="0" w:color="auto"/>
                                <w:right w:val="none" w:sz="0" w:space="0" w:color="auto"/>
                              </w:divBdr>
                            </w:div>
                            <w:div w:id="1939562560">
                              <w:marLeft w:val="0"/>
                              <w:marRight w:val="0"/>
                              <w:marTop w:val="0"/>
                              <w:marBottom w:val="0"/>
                              <w:divBdr>
                                <w:top w:val="none" w:sz="0" w:space="0" w:color="auto"/>
                                <w:left w:val="none" w:sz="0" w:space="0" w:color="auto"/>
                                <w:bottom w:val="none" w:sz="0" w:space="0" w:color="auto"/>
                                <w:right w:val="none" w:sz="0" w:space="0" w:color="auto"/>
                              </w:divBdr>
                            </w:div>
                            <w:div w:id="781650815">
                              <w:marLeft w:val="0"/>
                              <w:marRight w:val="0"/>
                              <w:marTop w:val="0"/>
                              <w:marBottom w:val="0"/>
                              <w:divBdr>
                                <w:top w:val="none" w:sz="0" w:space="0" w:color="auto"/>
                                <w:left w:val="none" w:sz="0" w:space="0" w:color="auto"/>
                                <w:bottom w:val="none" w:sz="0" w:space="0" w:color="auto"/>
                                <w:right w:val="none" w:sz="0" w:space="0" w:color="auto"/>
                              </w:divBdr>
                            </w:div>
                            <w:div w:id="447087532">
                              <w:marLeft w:val="0"/>
                              <w:marRight w:val="0"/>
                              <w:marTop w:val="0"/>
                              <w:marBottom w:val="0"/>
                              <w:divBdr>
                                <w:top w:val="none" w:sz="0" w:space="0" w:color="auto"/>
                                <w:left w:val="none" w:sz="0" w:space="0" w:color="auto"/>
                                <w:bottom w:val="none" w:sz="0" w:space="0" w:color="auto"/>
                                <w:right w:val="none" w:sz="0" w:space="0" w:color="auto"/>
                              </w:divBdr>
                            </w:div>
                            <w:div w:id="17196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etb.ie/Programmes/Adult-Education/Adult-Education---Region-4.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detb.ie/Programmes/Adult-Education/Adult-Education---Region-3.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etb.ie/Programmes/Adult-Education/Adult-Education---Region-2.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detb.ie/Programmes/Adult-Education/Adult-Education---Region-1.aspx"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etb.ie/Programmes/Adult-Education/Adult-Education---Region-5.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33A1953A45F4C83EF3AB372AED790" ma:contentTypeVersion="4" ma:contentTypeDescription="Create a new document." ma:contentTypeScope="" ma:versionID="f14ea02edc4bf9fdad9de584d418cda9">
  <xsd:schema xmlns:xsd="http://www.w3.org/2001/XMLSchema" xmlns:xs="http://www.w3.org/2001/XMLSchema" xmlns:p="http://schemas.microsoft.com/office/2006/metadata/properties" xmlns:ns2="8638c3e0-bf2a-45d9-aedd-e653a3e728d7" targetNamespace="http://schemas.microsoft.com/office/2006/metadata/properties" ma:root="true" ma:fieldsID="96b61412cd7a84bd66ad654eca168587" ns2:_="">
    <xsd:import namespace="8638c3e0-bf2a-45d9-aedd-e653a3e72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c3e0-bf2a-45d9-aedd-e653a3e72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FE3D3-3EA6-44B1-8F0E-136175E7B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2F708-DEBD-41C1-B4D3-358A068C3B82}">
  <ds:schemaRefs>
    <ds:schemaRef ds:uri="http://schemas.microsoft.com/sharepoint/v3/contenttype/forms"/>
  </ds:schemaRefs>
</ds:datastoreItem>
</file>

<file path=customXml/itemProps3.xml><?xml version="1.0" encoding="utf-8"?>
<ds:datastoreItem xmlns:ds="http://schemas.openxmlformats.org/officeDocument/2006/customXml" ds:itemID="{69D16C98-A4D7-48E5-85B8-8BF5BF29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c3e0-bf2a-45d9-aedd-e653a3e7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Company>Hewlett-Packard Company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liz.mchugh</dc:creator>
  <cp:lastModifiedBy>Gwen Redmond</cp:lastModifiedBy>
  <cp:revision>14</cp:revision>
  <dcterms:created xsi:type="dcterms:W3CDTF">2014-09-19T11:23:00Z</dcterms:created>
  <dcterms:modified xsi:type="dcterms:W3CDTF">2021-06-03T08:07:00Z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0x010100B9533A1953A45F4C83EF3AB372AED790</vt:lpwstr>
  </property>
</Properties>
</file>