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6810" w14:textId="1C4F7FFD" w:rsidR="00B65E6C" w:rsidRDefault="00AC3996" w:rsidP="00FB34D8">
      <w:r w:rsidRPr="00AC3996">
        <w:rPr>
          <w:b/>
          <w:bCs/>
        </w:rPr>
        <w:t xml:space="preserve">ONLINE TEACHING @ KIS - </w:t>
      </w:r>
      <w:r w:rsidR="00B65E6C" w:rsidRPr="00AC3996">
        <w:rPr>
          <w:b/>
          <w:bCs/>
        </w:rPr>
        <w:t>TIPS FOR ONLINE TEACHING</w:t>
      </w:r>
      <w:r w:rsidR="00314C79">
        <w:t xml:space="preserve"> TAKEN FROM ALISON YANG</w:t>
      </w:r>
      <w:r w:rsidR="00BB12CD">
        <w:t xml:space="preserve"> </w:t>
      </w:r>
      <w:hyperlink r:id="rId8" w:history="1">
        <w:r w:rsidR="00314C79">
          <w:rPr>
            <w:rStyle w:val="Hyperlink"/>
          </w:rPr>
          <w:t>https://alisonyang.weebly.com/blog</w:t>
        </w:r>
      </w:hyperlink>
      <w:r>
        <w:rPr>
          <w:rStyle w:val="Hyperlink"/>
        </w:rPr>
        <w:t xml:space="preserve"> </w:t>
      </w:r>
      <w:r>
        <w:t>is a useful</w:t>
      </w:r>
      <w:r w:rsidR="00FB34D8">
        <w:t xml:space="preserve"> and</w:t>
      </w:r>
      <w:r>
        <w:t xml:space="preserve"> practical document that we have uploaded to </w:t>
      </w:r>
      <w:hyperlink r:id="rId9" w:history="1">
        <w:r w:rsidRPr="00015716">
          <w:rPr>
            <w:rStyle w:val="Hyperlink"/>
          </w:rPr>
          <w:t>www.fess.ie</w:t>
        </w:r>
      </w:hyperlink>
      <w:r>
        <w:t xml:space="preserve">  .  We have been thinking about the key points in the context of providers supported by FESS and have added</w:t>
      </w:r>
      <w:r w:rsidR="00FB34D8">
        <w:t>,</w:t>
      </w:r>
      <w:r>
        <w:t xml:space="preserve"> in italics</w:t>
      </w:r>
      <w:r w:rsidR="00FB34D8">
        <w:t>,</w:t>
      </w:r>
      <w:bookmarkStart w:id="0" w:name="_GoBack"/>
      <w:bookmarkEnd w:id="0"/>
      <w:r>
        <w:t xml:space="preserve"> some comments that might be of use to you.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493"/>
        <w:gridCol w:w="5103"/>
      </w:tblGrid>
      <w:tr w:rsidR="002D7B94" w14:paraId="077FACC6" w14:textId="77777777" w:rsidTr="00D92FED">
        <w:trPr>
          <w:trHeight w:val="2215"/>
        </w:trPr>
        <w:tc>
          <w:tcPr>
            <w:tcW w:w="9493" w:type="dxa"/>
          </w:tcPr>
          <w:p w14:paraId="09D183B6" w14:textId="156969FA" w:rsidR="002D7B94" w:rsidRDefault="002D7B94" w:rsidP="002D7B94">
            <w:r>
              <w:rPr>
                <w:color w:val="538135" w:themeColor="accent6" w:themeShade="BF"/>
                <w:sz w:val="40"/>
                <w:szCs w:val="40"/>
              </w:rPr>
              <w:t>Do this</w:t>
            </w:r>
            <w:r w:rsidRPr="00715562">
              <w:rPr>
                <w:color w:val="538135" w:themeColor="accent6" w:themeShade="BF"/>
                <w:sz w:val="40"/>
                <w:szCs w:val="40"/>
              </w:rPr>
              <w:t xml:space="preserve"> </w:t>
            </w:r>
            <w:r>
              <w:rPr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08135598" wp14:editId="22FFC3AC">
                  <wp:extent cx="1323975" cy="1095375"/>
                  <wp:effectExtent l="0" t="0" r="9525" b="9525"/>
                  <wp:docPr id="7" name="Picture 7" descr="C:\Users\siobhanmagee\AppData\Local\Microsoft\Windows\INetCache\Content.MSO\92638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obhanmagee\AppData\Local\Microsoft\Windows\INetCache\Content.MSO\92638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52F791F" w14:textId="77777777" w:rsidR="002D7B94" w:rsidRDefault="002D7B94" w:rsidP="002D7B94">
            <w:pPr>
              <w:rPr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8AE2280" wp14:editId="0B9127E3">
                  <wp:extent cx="1238250" cy="971550"/>
                  <wp:effectExtent l="0" t="0" r="0" b="0"/>
                  <wp:docPr id="4" name="Picture 4" descr="Image result for thumbs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thumbs 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68E58" w14:textId="59464ABD" w:rsidR="002D7B94" w:rsidRDefault="002D7B94" w:rsidP="002D7B94">
            <w:r>
              <w:rPr>
                <w:color w:val="FF0000"/>
                <w:sz w:val="40"/>
                <w:szCs w:val="40"/>
              </w:rPr>
              <w:t>Not that</w:t>
            </w:r>
          </w:p>
        </w:tc>
      </w:tr>
      <w:tr w:rsidR="002D7B94" w14:paraId="56B445B8" w14:textId="77777777" w:rsidTr="00D92FED">
        <w:tc>
          <w:tcPr>
            <w:tcW w:w="9493" w:type="dxa"/>
          </w:tcPr>
          <w:p w14:paraId="01E6F53D" w14:textId="1B4B55A5" w:rsidR="002D7B94" w:rsidRPr="00EC665B" w:rsidRDefault="002D7B94" w:rsidP="002D7B94">
            <w:p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Asynchronous learning</w:t>
            </w:r>
          </w:p>
          <w:p w14:paraId="5E5F5073" w14:textId="77777777" w:rsidR="002D7B94" w:rsidRPr="00EC665B" w:rsidRDefault="002D7B94" w:rsidP="002D7B9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Teachers create learning experiences for students to work through at their own pace and take time to absorb content</w:t>
            </w:r>
          </w:p>
          <w:p w14:paraId="4813E37F" w14:textId="03366840" w:rsidR="002D7B94" w:rsidRPr="00EA45F3" w:rsidRDefault="002D7B94" w:rsidP="002D7B94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EA45F3">
              <w:rPr>
                <w:i/>
                <w:iCs/>
              </w:rPr>
              <w:t>You know your learners and will know the types of activities that interest them</w:t>
            </w:r>
            <w:r>
              <w:rPr>
                <w:i/>
                <w:iCs/>
              </w:rPr>
              <w:t xml:space="preserve"> while meeting the assessment requirements of their programme</w:t>
            </w:r>
          </w:p>
        </w:tc>
        <w:tc>
          <w:tcPr>
            <w:tcW w:w="5103" w:type="dxa"/>
          </w:tcPr>
          <w:p w14:paraId="7A88E4A5" w14:textId="6907B2E3" w:rsidR="002D7B94" w:rsidRDefault="002D7B94" w:rsidP="002D7B94">
            <w:r>
              <w:t>Synchronous learning</w:t>
            </w:r>
          </w:p>
          <w:p w14:paraId="1B88C0EC" w14:textId="77777777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>Teachers and students meet online and in real time through videoconferencing or live chatting</w:t>
            </w:r>
          </w:p>
          <w:p w14:paraId="3E0B687D" w14:textId="19ADD47B" w:rsidR="002D7B94" w:rsidRPr="00047E97" w:rsidRDefault="002D7B94" w:rsidP="002D7B94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047E97">
              <w:rPr>
                <w:i/>
                <w:iCs/>
              </w:rPr>
              <w:t xml:space="preserve">It may not always be possible to adhere to a strict timetable for teachers and  learners.  In FET very often we have part time learners, evening courses, </w:t>
            </w:r>
            <w:r>
              <w:rPr>
                <w:i/>
                <w:iCs/>
              </w:rPr>
              <w:t>these learners may be available at differing times</w:t>
            </w:r>
          </w:p>
        </w:tc>
      </w:tr>
      <w:tr w:rsidR="002D7B94" w14:paraId="40B2AE2F" w14:textId="77777777" w:rsidTr="00D92FED">
        <w:tc>
          <w:tcPr>
            <w:tcW w:w="9493" w:type="dxa"/>
          </w:tcPr>
          <w:p w14:paraId="244939A7" w14:textId="01D9CAF2" w:rsidR="002D7B94" w:rsidRPr="00EC665B" w:rsidRDefault="002D7B94" w:rsidP="002D7B94">
            <w:p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Less is more</w:t>
            </w:r>
          </w:p>
          <w:p w14:paraId="17B05585" w14:textId="77777777" w:rsidR="002D7B94" w:rsidRPr="00EC665B" w:rsidRDefault="002D7B94" w:rsidP="002D7B9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Assignments likely take twice as long to complete at home because of different factors; prioritise and be realistic</w:t>
            </w:r>
          </w:p>
          <w:p w14:paraId="5CE39A87" w14:textId="7CB9B78D" w:rsidR="002D7B94" w:rsidRPr="00174937" w:rsidRDefault="002D7B94" w:rsidP="002D7B94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For certification purposes it may be necessary to adhere to existing deadlines.  However, if possible it might be useful </w:t>
            </w:r>
            <w:r w:rsidRPr="00174937">
              <w:rPr>
                <w:i/>
                <w:iCs/>
              </w:rPr>
              <w:t xml:space="preserve"> to revisit deadlines for assignments already distributed</w:t>
            </w:r>
            <w:r>
              <w:rPr>
                <w:i/>
                <w:iCs/>
              </w:rPr>
              <w:t xml:space="preserve">  </w:t>
            </w:r>
          </w:p>
        </w:tc>
        <w:tc>
          <w:tcPr>
            <w:tcW w:w="5103" w:type="dxa"/>
          </w:tcPr>
          <w:p w14:paraId="7FE55FA0" w14:textId="676696EA" w:rsidR="002D7B94" w:rsidRDefault="002D7B94" w:rsidP="002D7B94">
            <w:r>
              <w:t>Being Unrealistic</w:t>
            </w:r>
          </w:p>
          <w:p w14:paraId="22AC2275" w14:textId="1D834E5D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>Assign ‘class work and ‘homework every day and request students to complete according to short timelines</w:t>
            </w:r>
          </w:p>
        </w:tc>
      </w:tr>
      <w:tr w:rsidR="002D7B94" w14:paraId="2A0072FF" w14:textId="77777777" w:rsidTr="00D92FED">
        <w:tc>
          <w:tcPr>
            <w:tcW w:w="9493" w:type="dxa"/>
          </w:tcPr>
          <w:p w14:paraId="3B13BDEE" w14:textId="77777777" w:rsidR="002D7B94" w:rsidRPr="00EC665B" w:rsidRDefault="002D7B94" w:rsidP="002D7B94">
            <w:p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Give explicit instructions</w:t>
            </w:r>
          </w:p>
          <w:p w14:paraId="7CE96380" w14:textId="77777777" w:rsidR="002D7B94" w:rsidRPr="00EC665B" w:rsidRDefault="002D7B94" w:rsidP="002D7B9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 xml:space="preserve">Outline deliberate instructions and specify the length of time to complete the session of learning </w:t>
            </w:r>
          </w:p>
          <w:p w14:paraId="21D10616" w14:textId="22894E26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 w:rsidRPr="00174937">
              <w:rPr>
                <w:i/>
                <w:iCs/>
              </w:rPr>
              <w:t>Students may need more direct and explicit instructions when working remotely</w:t>
            </w:r>
            <w:r>
              <w:rPr>
                <w:i/>
                <w:iCs/>
              </w:rPr>
              <w:t xml:space="preserve">. Make sure these are communicated in writing as the message may be confused without classroom contact. It may be appropriate to amend existing assessment instruments / briefs, </w:t>
            </w:r>
            <w:r w:rsidRPr="00AC3996">
              <w:rPr>
                <w:i/>
                <w:iCs/>
                <w:color w:val="FF0000"/>
              </w:rPr>
              <w:t>in line with</w:t>
            </w:r>
            <w:r w:rsidR="00AC3996" w:rsidRPr="00AC3996">
              <w:rPr>
                <w:i/>
                <w:iCs/>
                <w:color w:val="FF0000"/>
              </w:rPr>
              <w:t xml:space="preserve"> your </w:t>
            </w:r>
            <w:r w:rsidR="00AC3996" w:rsidRPr="00AC3996">
              <w:rPr>
                <w:i/>
                <w:iCs/>
                <w:color w:val="FF0000"/>
              </w:rPr>
              <w:lastRenderedPageBreak/>
              <w:t xml:space="preserve">provider’s </w:t>
            </w:r>
            <w:r w:rsidRPr="00AC3996">
              <w:rPr>
                <w:i/>
                <w:iCs/>
                <w:color w:val="FF0000"/>
              </w:rPr>
              <w:t xml:space="preserve">QA procedures. The standard must not compromised and learners must continue to work at the level as determined by the NFQ (C/F Grid of Level Indicators </w:t>
            </w:r>
            <w:hyperlink r:id="rId12" w:history="1">
              <w:r w:rsidRPr="00EE41D3">
                <w:rPr>
                  <w:rStyle w:val="Hyperlink"/>
                  <w:i/>
                  <w:iCs/>
                </w:rPr>
                <w:t>www.nfq.ie</w:t>
              </w:r>
            </w:hyperlink>
            <w:r>
              <w:rPr>
                <w:i/>
                <w:iCs/>
              </w:rPr>
              <w:t xml:space="preserve"> )</w:t>
            </w:r>
          </w:p>
        </w:tc>
        <w:tc>
          <w:tcPr>
            <w:tcW w:w="5103" w:type="dxa"/>
          </w:tcPr>
          <w:p w14:paraId="180FA2E7" w14:textId="77777777" w:rsidR="002D7B94" w:rsidRDefault="002D7B94" w:rsidP="002D7B94">
            <w:r>
              <w:lastRenderedPageBreak/>
              <w:t>Being unclear and vague</w:t>
            </w:r>
          </w:p>
          <w:p w14:paraId="6AE338A1" w14:textId="360F39DC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>Communicatee in lengthy paragraphs with instructions that may be difficult to follow or tasks that are overly vague</w:t>
            </w:r>
          </w:p>
        </w:tc>
      </w:tr>
      <w:tr w:rsidR="002D7B94" w14:paraId="3FFB79B0" w14:textId="77777777" w:rsidTr="00D92FED">
        <w:tc>
          <w:tcPr>
            <w:tcW w:w="9493" w:type="dxa"/>
          </w:tcPr>
          <w:p w14:paraId="162AD45E" w14:textId="77777777" w:rsidR="002D7B94" w:rsidRPr="00EC665B" w:rsidRDefault="002D7B94" w:rsidP="002D7B94">
            <w:p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Specify expectations</w:t>
            </w:r>
          </w:p>
          <w:p w14:paraId="687B8D30" w14:textId="77777777" w:rsidR="002D7B94" w:rsidRPr="00EC665B" w:rsidRDefault="002D7B94" w:rsidP="002D7B9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Specify task requirements and length clearly (e.g. 2 minute audio recording with a bulleted checklist)</w:t>
            </w:r>
          </w:p>
          <w:p w14:paraId="6E4879E0" w14:textId="17CB3046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 w:rsidRPr="00174937">
              <w:rPr>
                <w:i/>
                <w:iCs/>
              </w:rPr>
              <w:t>Students may need more direct and explicit instructions when working remotely</w:t>
            </w:r>
            <w:r>
              <w:rPr>
                <w:i/>
                <w:iCs/>
              </w:rPr>
              <w:t xml:space="preserve">.  Again ensure that learners continue to work to the standards as outlined by the </w:t>
            </w:r>
            <w:r w:rsidRPr="00A60871">
              <w:rPr>
                <w:i/>
                <w:iCs/>
                <w:color w:val="FF0000"/>
              </w:rPr>
              <w:t>NFQ</w:t>
            </w:r>
          </w:p>
        </w:tc>
        <w:tc>
          <w:tcPr>
            <w:tcW w:w="5103" w:type="dxa"/>
          </w:tcPr>
          <w:p w14:paraId="1449B6B7" w14:textId="77777777" w:rsidR="002D7B94" w:rsidRDefault="002D7B94" w:rsidP="002D7B94">
            <w:r>
              <w:t>Being too open ended</w:t>
            </w:r>
          </w:p>
          <w:p w14:paraId="6D786D06" w14:textId="64C63137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 xml:space="preserve">Assign tasks that are too open ended (e.g. make a video about the moon; write </w:t>
            </w:r>
            <w:proofErr w:type="spellStart"/>
            <w:r>
              <w:t>and</w:t>
            </w:r>
            <w:proofErr w:type="spellEnd"/>
            <w:r>
              <w:t xml:space="preserve"> essay about pollution)</w:t>
            </w:r>
          </w:p>
        </w:tc>
      </w:tr>
      <w:tr w:rsidR="002D7B94" w14:paraId="368CEFB2" w14:textId="77777777" w:rsidTr="00D92FED">
        <w:tc>
          <w:tcPr>
            <w:tcW w:w="9493" w:type="dxa"/>
          </w:tcPr>
          <w:p w14:paraId="2DBFD3F2" w14:textId="77777777" w:rsidR="002D7B94" w:rsidRDefault="002D7B94" w:rsidP="002D7B94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Be empathetic</w:t>
            </w:r>
          </w:p>
          <w:p w14:paraId="271984D3" w14:textId="77777777" w:rsidR="002D7B94" w:rsidRDefault="002D7B94" w:rsidP="002D7B9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Assign a reasonable workload, encouraging students to balance online with offline and connect with one another</w:t>
            </w:r>
          </w:p>
          <w:p w14:paraId="1DBF1EB4" w14:textId="30FEEB75" w:rsidR="002D7B94" w:rsidRPr="00EC665B" w:rsidRDefault="002D7B94" w:rsidP="002D7B94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color w:val="538135" w:themeColor="accent6" w:themeShade="BF"/>
              </w:rPr>
            </w:pPr>
            <w:r w:rsidRPr="00EC665B">
              <w:rPr>
                <w:i/>
                <w:iCs/>
                <w:color w:val="000000" w:themeColor="text1"/>
              </w:rPr>
              <w:t xml:space="preserve">Encourage the learners to communicate with each other remotely to discuss their programme requirements </w:t>
            </w:r>
          </w:p>
        </w:tc>
        <w:tc>
          <w:tcPr>
            <w:tcW w:w="5103" w:type="dxa"/>
          </w:tcPr>
          <w:p w14:paraId="49F4ADF3" w14:textId="77777777" w:rsidR="002D7B94" w:rsidRDefault="002D7B94" w:rsidP="002D7B94">
            <w:r>
              <w:t>Be overly task oriented</w:t>
            </w:r>
          </w:p>
          <w:p w14:paraId="4809AF0A" w14:textId="68575712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>Assign online classwork followed by extra homework without a clear focus on student wellbeing</w:t>
            </w:r>
          </w:p>
        </w:tc>
      </w:tr>
      <w:tr w:rsidR="002D7B94" w14:paraId="4FC62C1A" w14:textId="77777777" w:rsidTr="00D92FED">
        <w:tc>
          <w:tcPr>
            <w:tcW w:w="9493" w:type="dxa"/>
          </w:tcPr>
          <w:p w14:paraId="7ECECC67" w14:textId="77777777" w:rsidR="002D7B94" w:rsidRPr="00EC665B" w:rsidRDefault="002D7B94" w:rsidP="002D7B94">
            <w:p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Communicate consistently</w:t>
            </w:r>
          </w:p>
          <w:p w14:paraId="5E848FD1" w14:textId="77777777" w:rsidR="002D7B94" w:rsidRPr="00EC665B" w:rsidRDefault="002D7B94" w:rsidP="002D7B9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All instructions and assignments must be communicated via ….</w:t>
            </w:r>
          </w:p>
          <w:p w14:paraId="4E9A98A5" w14:textId="1E8E1D45" w:rsidR="002D7B94" w:rsidRPr="00174937" w:rsidRDefault="002D7B94" w:rsidP="002D7B94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174937">
              <w:rPr>
                <w:i/>
                <w:iCs/>
              </w:rPr>
              <w:t>Not everyone has access to a variety of social media, it is best to ‘check in’ through one channel</w:t>
            </w:r>
            <w:r>
              <w:rPr>
                <w:i/>
                <w:iCs/>
              </w:rPr>
              <w:t xml:space="preserve">. Also be mindful of differing </w:t>
            </w:r>
            <w:proofErr w:type="spellStart"/>
            <w:r>
              <w:rPr>
                <w:i/>
                <w:iCs/>
              </w:rPr>
              <w:t>wifi</w:t>
            </w:r>
            <w:proofErr w:type="spellEnd"/>
            <w:r>
              <w:rPr>
                <w:i/>
                <w:iCs/>
              </w:rPr>
              <w:t xml:space="preserve"> capacity</w:t>
            </w:r>
          </w:p>
        </w:tc>
        <w:tc>
          <w:tcPr>
            <w:tcW w:w="5103" w:type="dxa"/>
          </w:tcPr>
          <w:p w14:paraId="6ADD22F3" w14:textId="77777777" w:rsidR="002D7B94" w:rsidRDefault="002D7B94" w:rsidP="002D7B94">
            <w:r>
              <w:t>Mixed communication</w:t>
            </w:r>
          </w:p>
          <w:p w14:paraId="1BDEDCB7" w14:textId="4092B160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>Use multiple platforms inconsistently (e.g. email followed by google classroom etc)</w:t>
            </w:r>
          </w:p>
        </w:tc>
      </w:tr>
      <w:tr w:rsidR="002D7B94" w14:paraId="718472D3" w14:textId="77777777" w:rsidTr="00D92FED">
        <w:tc>
          <w:tcPr>
            <w:tcW w:w="9493" w:type="dxa"/>
          </w:tcPr>
          <w:p w14:paraId="2EFC7937" w14:textId="77777777" w:rsidR="002D7B94" w:rsidRPr="00EC665B" w:rsidRDefault="002D7B94" w:rsidP="002D7B94">
            <w:p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Seek student feedback</w:t>
            </w:r>
          </w:p>
          <w:p w14:paraId="1D642A2C" w14:textId="77777777" w:rsidR="002D7B94" w:rsidRPr="00EC665B" w:rsidRDefault="002D7B94" w:rsidP="002D7B9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Seek student feedback about their workload, emotional state, learning preferences, and learning pace</w:t>
            </w:r>
          </w:p>
          <w:p w14:paraId="73B07ADC" w14:textId="27A70D98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 xml:space="preserve">- </w:t>
            </w:r>
            <w:r w:rsidRPr="00174937">
              <w:rPr>
                <w:i/>
                <w:iCs/>
              </w:rPr>
              <w:t>Perhaps not emotional state, but it is good to involve the learners in the process</w:t>
            </w:r>
            <w:r>
              <w:rPr>
                <w:i/>
                <w:iCs/>
              </w:rPr>
              <w:t>, this will also adhere to QA requirements around feedback</w:t>
            </w:r>
          </w:p>
        </w:tc>
        <w:tc>
          <w:tcPr>
            <w:tcW w:w="5103" w:type="dxa"/>
          </w:tcPr>
          <w:p w14:paraId="13034C0F" w14:textId="77777777" w:rsidR="002D7B94" w:rsidRDefault="002D7B94" w:rsidP="002D7B94">
            <w:r>
              <w:t xml:space="preserve">Use the same approach </w:t>
            </w:r>
          </w:p>
          <w:p w14:paraId="54663ECF" w14:textId="36EAB512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>Teach in a way that does not give students voice and or choice, leaving them feeling overwhelmed</w:t>
            </w:r>
          </w:p>
        </w:tc>
      </w:tr>
      <w:tr w:rsidR="002D7B94" w14:paraId="2299FA32" w14:textId="77777777" w:rsidTr="00D92FED">
        <w:tc>
          <w:tcPr>
            <w:tcW w:w="9493" w:type="dxa"/>
          </w:tcPr>
          <w:p w14:paraId="10665AC9" w14:textId="77777777" w:rsidR="002D7B94" w:rsidRPr="00EC665B" w:rsidRDefault="002D7B94" w:rsidP="002D7B94">
            <w:p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Boost learning retention</w:t>
            </w:r>
          </w:p>
          <w:p w14:paraId="66D48F38" w14:textId="77777777" w:rsidR="002D7B94" w:rsidRPr="00EC665B" w:rsidRDefault="002D7B94" w:rsidP="002D7B9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Curate multimedia materials to boost learning retention and use digital tools to create interactive lessons</w:t>
            </w:r>
          </w:p>
          <w:p w14:paraId="6D18DD11" w14:textId="48CC7B1C" w:rsidR="002D7B94" w:rsidRPr="00314C79" w:rsidRDefault="002D7B94" w:rsidP="002D7B94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314C79">
              <w:rPr>
                <w:i/>
                <w:iCs/>
              </w:rPr>
              <w:t xml:space="preserve">Be sure that what you will use with your learners will </w:t>
            </w:r>
            <w:r w:rsidR="00A60871">
              <w:rPr>
                <w:i/>
                <w:iCs/>
              </w:rPr>
              <w:t xml:space="preserve">function </w:t>
            </w:r>
            <w:r w:rsidRPr="00314C79">
              <w:rPr>
                <w:i/>
                <w:iCs/>
              </w:rPr>
              <w:t>for them.  Familiarise yourself with requirements around user accounts and licensing</w:t>
            </w:r>
          </w:p>
        </w:tc>
        <w:tc>
          <w:tcPr>
            <w:tcW w:w="5103" w:type="dxa"/>
          </w:tcPr>
          <w:p w14:paraId="222EDFC6" w14:textId="77777777" w:rsidR="002D7B94" w:rsidRDefault="002D7B94" w:rsidP="002D7B94">
            <w:r>
              <w:t>Try new and unused tools</w:t>
            </w:r>
          </w:p>
          <w:p w14:paraId="6DE5C3EB" w14:textId="2CCF285D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>Trying new tools that you’ve never used may lead to technological difficulties and increase challenge</w:t>
            </w:r>
          </w:p>
        </w:tc>
      </w:tr>
      <w:tr w:rsidR="002D7B94" w14:paraId="5D9327E9" w14:textId="77777777" w:rsidTr="00D92FED">
        <w:tc>
          <w:tcPr>
            <w:tcW w:w="9493" w:type="dxa"/>
          </w:tcPr>
          <w:p w14:paraId="64D2F992" w14:textId="77777777" w:rsidR="002D7B94" w:rsidRPr="00EC665B" w:rsidRDefault="002D7B94" w:rsidP="002D7B94">
            <w:p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Identify lesson objectives</w:t>
            </w:r>
          </w:p>
          <w:p w14:paraId="00D7F8DD" w14:textId="77777777" w:rsidR="002D7B94" w:rsidRPr="00EC665B" w:rsidRDefault="002D7B94" w:rsidP="002D7B9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</w:rPr>
            </w:pPr>
            <w:r w:rsidRPr="00EC665B">
              <w:rPr>
                <w:b/>
                <w:bCs/>
                <w:color w:val="538135" w:themeColor="accent6" w:themeShade="BF"/>
              </w:rPr>
              <w:t>Be intentional and identify clear learning objectives and assessment outcomes (formative and summative)</w:t>
            </w:r>
          </w:p>
          <w:p w14:paraId="32EC8F36" w14:textId="7A97BC8D" w:rsidR="002D7B94" w:rsidRPr="002D7B94" w:rsidRDefault="002D7B94" w:rsidP="002D7B94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2D7B94">
              <w:rPr>
                <w:i/>
                <w:iCs/>
              </w:rPr>
              <w:t>- In uncertain times it is useful to outline precise content and assessment requirements for the learner</w:t>
            </w:r>
            <w:r w:rsidR="00A60871">
              <w:rPr>
                <w:i/>
                <w:iCs/>
              </w:rPr>
              <w:t>, this will help to focus everyone when working remotely</w:t>
            </w:r>
          </w:p>
        </w:tc>
        <w:tc>
          <w:tcPr>
            <w:tcW w:w="5103" w:type="dxa"/>
          </w:tcPr>
          <w:p w14:paraId="4944832B" w14:textId="77777777" w:rsidR="002D7B94" w:rsidRDefault="002D7B94" w:rsidP="002D7B94">
            <w:r>
              <w:t>Give random activities</w:t>
            </w:r>
          </w:p>
          <w:p w14:paraId="383ED58C" w14:textId="3203BBBB" w:rsidR="002D7B94" w:rsidRDefault="002D7B94" w:rsidP="002D7B94">
            <w:pPr>
              <w:pStyle w:val="ListParagraph"/>
              <w:numPr>
                <w:ilvl w:val="0"/>
                <w:numId w:val="1"/>
              </w:numPr>
            </w:pPr>
            <w:r>
              <w:t xml:space="preserve">Keep students busy doing online activities and do not think about the lesson objectives and assessments </w:t>
            </w:r>
          </w:p>
        </w:tc>
      </w:tr>
    </w:tbl>
    <w:p w14:paraId="0138B39C" w14:textId="563A651F" w:rsidR="00B65E6C" w:rsidRDefault="00AC3996" w:rsidP="00AC3996">
      <w:pPr>
        <w:autoSpaceDE w:val="0"/>
        <w:autoSpaceDN w:val="0"/>
        <w:adjustRightInd w:val="0"/>
        <w:spacing w:after="0" w:line="240" w:lineRule="auto"/>
      </w:pPr>
      <w:r>
        <w:rPr>
          <w:rFonts w:ascii="PTSans-Bold" w:hAnsi="PTSans-Bold" w:cs="PTSans-Bold"/>
          <w:b/>
          <w:bCs/>
          <w:color w:val="000000"/>
          <w:sz w:val="20"/>
          <w:szCs w:val="20"/>
        </w:rPr>
        <w:t xml:space="preserve">Online Teaching @ KIS: Do This, Not That </w:t>
      </w:r>
      <w:r>
        <w:rPr>
          <w:rFonts w:ascii="PTSans-Regular" w:hAnsi="PTSans-Regular" w:cs="PTSans-Regular"/>
          <w:color w:val="000000"/>
          <w:sz w:val="20"/>
          <w:szCs w:val="20"/>
        </w:rPr>
        <w:t xml:space="preserve">by Alison Yang is licensed under a </w:t>
      </w:r>
      <w:r>
        <w:rPr>
          <w:rFonts w:ascii="PTSans-Regular" w:hAnsi="PTSans-Regular" w:cs="PTSans-Regular"/>
          <w:color w:val="00009A"/>
          <w:sz w:val="20"/>
          <w:szCs w:val="20"/>
        </w:rPr>
        <w:t>Creative Commons Attribution-</w:t>
      </w:r>
      <w:proofErr w:type="spellStart"/>
      <w:r>
        <w:rPr>
          <w:rFonts w:ascii="PTSans-Regular" w:hAnsi="PTSans-Regular" w:cs="PTSans-Regular"/>
          <w:color w:val="00009A"/>
          <w:sz w:val="20"/>
          <w:szCs w:val="20"/>
        </w:rPr>
        <w:t>NonCommercial</w:t>
      </w:r>
      <w:proofErr w:type="spellEnd"/>
      <w:r>
        <w:rPr>
          <w:rFonts w:ascii="PTSans-Regular" w:hAnsi="PTSans-Regular" w:cs="PTSans-Regular"/>
          <w:color w:val="00009A"/>
          <w:sz w:val="20"/>
          <w:szCs w:val="20"/>
        </w:rPr>
        <w:t xml:space="preserve"> 4.0 International License</w:t>
      </w:r>
      <w:r>
        <w:rPr>
          <w:rFonts w:ascii="PTSans-Regular" w:hAnsi="PTSans-Regular" w:cs="PTSans-Regular"/>
          <w:color w:val="000000"/>
          <w:sz w:val="20"/>
          <w:szCs w:val="20"/>
        </w:rPr>
        <w:t>. In short, you can share the work, but you must attribute the work. The work is no derivative and not for commercial purposes.</w:t>
      </w:r>
    </w:p>
    <w:sectPr w:rsidR="00B65E6C" w:rsidSect="00242D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Sans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ans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76D24"/>
    <w:multiLevelType w:val="hybridMultilevel"/>
    <w:tmpl w:val="92BE1A3C"/>
    <w:lvl w:ilvl="0" w:tplc="CDCEE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6C"/>
    <w:rsid w:val="00007E8E"/>
    <w:rsid w:val="00047E97"/>
    <w:rsid w:val="00174937"/>
    <w:rsid w:val="001C322F"/>
    <w:rsid w:val="00242D4A"/>
    <w:rsid w:val="002D7B94"/>
    <w:rsid w:val="00314C79"/>
    <w:rsid w:val="00482964"/>
    <w:rsid w:val="00715562"/>
    <w:rsid w:val="00971E75"/>
    <w:rsid w:val="00A60871"/>
    <w:rsid w:val="00AC3996"/>
    <w:rsid w:val="00B65E6C"/>
    <w:rsid w:val="00BB12CD"/>
    <w:rsid w:val="00C46C6B"/>
    <w:rsid w:val="00D92FED"/>
    <w:rsid w:val="00EA45F3"/>
    <w:rsid w:val="00EC665B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F8B9"/>
  <w15:chartTrackingRefBased/>
  <w15:docId w15:val="{0453D905-C8EF-413C-BC09-F3A2AFC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C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sonyang.weebly.com/blo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fq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fess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CA6B52A8DDA48B74157F55D796ADB" ma:contentTypeVersion="13" ma:contentTypeDescription="Create a new document." ma:contentTypeScope="" ma:versionID="099e39aaab521d02e40369d86455b3be">
  <xsd:schema xmlns:xsd="http://www.w3.org/2001/XMLSchema" xmlns:xs="http://www.w3.org/2001/XMLSchema" xmlns:p="http://schemas.microsoft.com/office/2006/metadata/properties" xmlns:ns3="ed1e0def-bb60-48f8-a5be-fdcbc91202fc" xmlns:ns4="64706083-2497-447a-8c89-4e0746ac7d09" targetNamespace="http://schemas.microsoft.com/office/2006/metadata/properties" ma:root="true" ma:fieldsID="b90771052e4635255c1e8ab7a4234860" ns3:_="" ns4:_="">
    <xsd:import namespace="ed1e0def-bb60-48f8-a5be-fdcbc91202fc"/>
    <xsd:import namespace="64706083-2497-447a-8c89-4e0746ac7d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def-bb60-48f8-a5be-fdcbc9120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6083-2497-447a-8c89-4e0746ac7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4B37D-7F52-4E44-A534-567E9B98F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169B55-1C56-45A7-81CF-DF1FDBE49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e0def-bb60-48f8-a5be-fdcbc91202fc"/>
    <ds:schemaRef ds:uri="64706083-2497-447a-8c89-4e0746ac7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22603-AB52-4412-AF97-72CFECD15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Magee</dc:creator>
  <cp:keywords/>
  <dc:description/>
  <cp:lastModifiedBy>Jenny Whelan</cp:lastModifiedBy>
  <cp:revision>2</cp:revision>
  <dcterms:created xsi:type="dcterms:W3CDTF">2020-03-19T12:04:00Z</dcterms:created>
  <dcterms:modified xsi:type="dcterms:W3CDTF">2020-03-19T12:04:00Z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0x010100124CA6B52A8DDA48B74157F55D796ADB</vt:lpwstr>
  </property>
</Properties>
</file>